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keepLines/>
        <w:spacing w:line="360" w:lineRule="auto"/>
        <w:outlineLvl w:val="9"/>
        <w:rPr>
          <w:b/>
          <w:bCs/>
          <w:color w:val="auto"/>
          <w:lang w:val="en-US" w:eastAsia="zh-CN"/>
        </w:rPr>
      </w:pPr>
      <w:bookmarkStart w:id="0" w:name="_Toc21421"/>
      <w:bookmarkStart w:id="1" w:name="bookmark0"/>
      <w:bookmarkStart w:id="2" w:name="bookmark1"/>
      <w:bookmarkStart w:id="3" w:name="bookmark2"/>
      <w:r>
        <w:rPr>
          <w:rFonts w:hint="eastAsia"/>
          <w:b/>
          <w:bCs/>
          <w:color w:val="auto"/>
          <w:lang w:val="en-US" w:eastAsia="zh-CN"/>
        </w:rPr>
        <w:t>辽宁开味食品有限公司泡菜生产基地</w:t>
      </w:r>
      <w:bookmarkEnd w:id="0"/>
      <w:r>
        <w:rPr>
          <w:rFonts w:hint="eastAsia"/>
          <w:b/>
          <w:bCs/>
          <w:color w:val="auto"/>
          <w:lang w:val="en-US" w:eastAsia="zh-CN"/>
        </w:rPr>
        <w:t xml:space="preserve"> </w:t>
      </w: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bookmarkStart w:id="4" w:name="_Toc4887"/>
      <w:r>
        <w:rPr>
          <w:rFonts w:hint="eastAsia"/>
          <w:b/>
          <w:bCs/>
          <w:color w:val="auto"/>
          <w:lang w:val="en-US" w:eastAsia="zh-CN"/>
        </w:rPr>
        <w:t>柴油发电机系统技术要求</w:t>
      </w:r>
      <w:bookmarkEnd w:id="4"/>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bookmarkStart w:id="5" w:name="_Toc386"/>
      <w:r>
        <w:rPr>
          <w:rFonts w:hint="eastAsia"/>
          <w:b/>
          <w:bCs/>
          <w:color w:val="auto"/>
          <w:lang w:val="en-US" w:eastAsia="zh-CN"/>
        </w:rPr>
        <w:t>招标技术文件</w:t>
      </w:r>
      <w:bookmarkEnd w:id="5"/>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outlineLvl w:val="9"/>
        <w:rPr>
          <w:b/>
          <w:bCs/>
          <w:color w:val="auto"/>
          <w:lang w:val="en-US" w:eastAsia="zh-CN"/>
        </w:rPr>
      </w:pPr>
    </w:p>
    <w:p>
      <w:pPr>
        <w:pStyle w:val="13"/>
        <w:keepNext/>
        <w:keepLines/>
        <w:spacing w:line="360" w:lineRule="auto"/>
        <w:jc w:val="both"/>
        <w:outlineLvl w:val="9"/>
        <w:rPr>
          <w:b/>
          <w:bCs/>
          <w:color w:val="auto"/>
          <w:lang w:val="en-US" w:eastAsia="zh-CN"/>
        </w:rPr>
      </w:pPr>
    </w:p>
    <w:p>
      <w:pPr>
        <w:pStyle w:val="13"/>
        <w:keepNext/>
        <w:keepLines/>
        <w:spacing w:line="360" w:lineRule="auto"/>
        <w:outlineLvl w:val="9"/>
        <w:rPr>
          <w:b/>
          <w:bCs/>
          <w:color w:val="auto"/>
          <w:lang w:val="en-US" w:eastAsia="zh-CN"/>
        </w:rPr>
      </w:pPr>
      <w:r>
        <w:rPr>
          <w:rFonts w:hint="eastAsia"/>
          <w:b/>
          <w:bCs/>
          <w:color w:val="auto"/>
          <w:lang w:val="en-US" w:eastAsia="zh-CN"/>
        </w:rPr>
        <w:t>日期：2021年11月</w:t>
      </w:r>
    </w:p>
    <w:bookmarkEnd w:id="1"/>
    <w:bookmarkEnd w:id="2"/>
    <w:bookmarkEnd w:id="3"/>
    <w:sdt>
      <w:sdtPr>
        <w:rPr>
          <w:rFonts w:ascii="宋体" w:hAnsi="宋体" w:eastAsia="宋体"/>
          <w:color w:val="auto"/>
          <w:sz w:val="21"/>
        </w:rPr>
        <w:id w:val="147462411"/>
        <w:docPartObj>
          <w:docPartGallery w:val="Table of Contents"/>
          <w:docPartUnique/>
        </w:docPartObj>
      </w:sdtPr>
      <w:sdtEndPr>
        <w:rPr>
          <w:rFonts w:ascii="Times New Roman" w:hAnsi="Times New Roman" w:eastAsia="Times New Roman"/>
          <w:bCs/>
          <w:color w:val="auto"/>
          <w:sz w:val="24"/>
          <w:szCs w:val="32"/>
          <w:lang w:eastAsia="zh-CN"/>
        </w:rPr>
      </w:sdtEndPr>
      <w:sdtContent>
        <w:p>
          <w:pPr>
            <w:jc w:val="center"/>
            <w:rPr>
              <w:color w:val="auto"/>
            </w:rPr>
          </w:pPr>
        </w:p>
        <w:p>
          <w:pPr>
            <w:pStyle w:val="16"/>
            <w:tabs>
              <w:tab w:val="right" w:leader="dot" w:pos="8306"/>
            </w:tabs>
            <w:jc w:val="center"/>
            <w:rPr>
              <w:b/>
              <w:bCs/>
              <w:color w:val="auto"/>
              <w:sz w:val="32"/>
              <w:szCs w:val="32"/>
            </w:rPr>
            <w:sectPr>
              <w:headerReference r:id="rId3" w:type="default"/>
              <w:footerReference r:id="rId4" w:type="default"/>
              <w:footerReference r:id="rId5" w:type="even"/>
              <w:pgSz w:w="11906" w:h="16838"/>
              <w:pgMar w:top="1440" w:right="1800" w:bottom="1440" w:left="1800" w:header="851" w:footer="992" w:gutter="0"/>
              <w:cols w:space="720" w:num="1"/>
              <w:docGrid w:type="lines" w:linePitch="326" w:charSpace="0"/>
            </w:sectPr>
          </w:pPr>
        </w:p>
        <w:p>
          <w:pPr>
            <w:pStyle w:val="16"/>
            <w:tabs>
              <w:tab w:val="right" w:leader="dot" w:pos="8306"/>
            </w:tabs>
            <w:jc w:val="center"/>
            <w:rPr>
              <w:b/>
              <w:bCs/>
              <w:color w:val="auto"/>
              <w:sz w:val="32"/>
              <w:szCs w:val="32"/>
            </w:rPr>
          </w:pPr>
          <w:r>
            <w:rPr>
              <w:rFonts w:hint="eastAsia"/>
              <w:b/>
              <w:bCs/>
              <w:color w:val="auto"/>
              <w:sz w:val="32"/>
              <w:szCs w:val="32"/>
            </w:rPr>
            <w:t>目录</w:t>
          </w:r>
        </w:p>
        <w:p>
          <w:pPr>
            <w:pStyle w:val="16"/>
            <w:tabs>
              <w:tab w:val="right" w:leader="dot" w:pos="8306"/>
            </w:tabs>
            <w:rPr>
              <w:color w:val="auto"/>
              <w:sz w:val="28"/>
              <w:szCs w:val="28"/>
            </w:rPr>
          </w:pPr>
          <w:r>
            <w:rPr>
              <w:b/>
              <w:bCs/>
              <w:color w:val="auto"/>
              <w:sz w:val="48"/>
              <w:szCs w:val="48"/>
            </w:rPr>
            <w:fldChar w:fldCharType="begin"/>
          </w:r>
          <w:r>
            <w:rPr>
              <w:b/>
              <w:bCs/>
              <w:color w:val="auto"/>
              <w:sz w:val="48"/>
              <w:szCs w:val="48"/>
            </w:rPr>
            <w:instrText xml:space="preserve">TOC \o "1-1" \h \u </w:instrText>
          </w:r>
          <w:r>
            <w:rPr>
              <w:b/>
              <w:bCs/>
              <w:color w:val="auto"/>
              <w:sz w:val="48"/>
              <w:szCs w:val="48"/>
            </w:rPr>
            <w:fldChar w:fldCharType="separate"/>
          </w:r>
        </w:p>
        <w:p>
          <w:pPr>
            <w:pStyle w:val="16"/>
            <w:tabs>
              <w:tab w:val="right" w:leader="dot" w:pos="8306"/>
            </w:tabs>
            <w:rPr>
              <w:color w:val="auto"/>
              <w:sz w:val="28"/>
              <w:szCs w:val="28"/>
            </w:rPr>
          </w:pPr>
          <w:r>
            <w:rPr>
              <w:color w:val="auto"/>
            </w:rPr>
            <w:fldChar w:fldCharType="begin"/>
          </w:r>
          <w:r>
            <w:rPr>
              <w:color w:val="auto"/>
            </w:rPr>
            <w:instrText xml:space="preserve"> HYPERLINK \l "_Toc26727" </w:instrText>
          </w:r>
          <w:r>
            <w:rPr>
              <w:color w:val="auto"/>
            </w:rPr>
            <w:fldChar w:fldCharType="separate"/>
          </w:r>
          <w:r>
            <w:rPr>
              <w:bCs/>
              <w:color w:val="auto"/>
              <w:sz w:val="28"/>
              <w:szCs w:val="48"/>
            </w:rPr>
            <w:t>一、</w:t>
          </w:r>
          <w:r>
            <w:rPr>
              <w:rFonts w:hint="eastAsia" w:ascii="宋体" w:cs="宋体"/>
              <w:color w:val="auto"/>
              <w:kern w:val="2"/>
              <w:sz w:val="28"/>
              <w:szCs w:val="44"/>
            </w:rPr>
            <w:t>项目概况</w:t>
          </w:r>
          <w:r>
            <w:rPr>
              <w:color w:val="auto"/>
              <w:sz w:val="28"/>
              <w:szCs w:val="28"/>
            </w:rPr>
            <w:tab/>
          </w:r>
          <w:r>
            <w:rPr>
              <w:color w:val="auto"/>
              <w:sz w:val="28"/>
              <w:szCs w:val="28"/>
            </w:rPr>
            <w:fldChar w:fldCharType="begin"/>
          </w:r>
          <w:r>
            <w:rPr>
              <w:color w:val="auto"/>
              <w:sz w:val="28"/>
              <w:szCs w:val="28"/>
            </w:rPr>
            <w:instrText xml:space="preserve"> PAGEREF _Toc26727 \h </w:instrText>
          </w:r>
          <w:r>
            <w:rPr>
              <w:color w:val="auto"/>
              <w:sz w:val="28"/>
              <w:szCs w:val="28"/>
            </w:rPr>
            <w:fldChar w:fldCharType="separate"/>
          </w:r>
          <w:r>
            <w:rPr>
              <w:color w:val="auto"/>
              <w:sz w:val="28"/>
              <w:szCs w:val="28"/>
            </w:rPr>
            <w:t>1</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"_Toc23773" </w:instrText>
          </w:r>
          <w:r>
            <w:rPr>
              <w:color w:val="auto"/>
            </w:rPr>
            <w:fldChar w:fldCharType="separate"/>
          </w:r>
          <w:r>
            <w:rPr>
              <w:rFonts w:hint="eastAsia" w:ascii="宋体" w:hAnsi="宋体" w:cs="宋体"/>
              <w:color w:val="auto"/>
              <w:sz w:val="28"/>
              <w:szCs w:val="44"/>
            </w:rPr>
            <w:t>二、 项目地址</w:t>
          </w:r>
          <w:r>
            <w:rPr>
              <w:color w:val="auto"/>
              <w:sz w:val="28"/>
              <w:szCs w:val="28"/>
            </w:rPr>
            <w:tab/>
          </w:r>
          <w:r>
            <w:rPr>
              <w:color w:val="auto"/>
              <w:sz w:val="28"/>
              <w:szCs w:val="28"/>
            </w:rPr>
            <w:fldChar w:fldCharType="begin"/>
          </w:r>
          <w:r>
            <w:rPr>
              <w:color w:val="auto"/>
              <w:sz w:val="28"/>
              <w:szCs w:val="28"/>
            </w:rPr>
            <w:instrText xml:space="preserve"> PAGEREF _Toc23773 \h </w:instrText>
          </w:r>
          <w:r>
            <w:rPr>
              <w:color w:val="auto"/>
              <w:sz w:val="28"/>
              <w:szCs w:val="28"/>
            </w:rPr>
            <w:fldChar w:fldCharType="separate"/>
          </w:r>
          <w:r>
            <w:rPr>
              <w:color w:val="auto"/>
              <w:sz w:val="28"/>
              <w:szCs w:val="28"/>
            </w:rPr>
            <w:t>1</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"_Toc10907" </w:instrText>
          </w:r>
          <w:r>
            <w:rPr>
              <w:color w:val="auto"/>
            </w:rPr>
            <w:fldChar w:fldCharType="separate"/>
          </w:r>
          <w:r>
            <w:rPr>
              <w:rFonts w:hint="eastAsia" w:ascii="宋体" w:hAnsi="宋体" w:cs="宋体"/>
              <w:color w:val="auto"/>
              <w:sz w:val="28"/>
              <w:szCs w:val="44"/>
            </w:rPr>
            <w:t>三、 项目说明</w:t>
          </w:r>
          <w:r>
            <w:rPr>
              <w:color w:val="auto"/>
              <w:sz w:val="28"/>
              <w:szCs w:val="28"/>
            </w:rPr>
            <w:tab/>
          </w:r>
          <w:r>
            <w:rPr>
              <w:color w:val="auto"/>
              <w:sz w:val="28"/>
              <w:szCs w:val="28"/>
            </w:rPr>
            <w:fldChar w:fldCharType="begin"/>
          </w:r>
          <w:r>
            <w:rPr>
              <w:color w:val="auto"/>
              <w:sz w:val="28"/>
              <w:szCs w:val="28"/>
            </w:rPr>
            <w:instrText xml:space="preserve"> PAGEREF _Toc10907 \h </w:instrText>
          </w:r>
          <w:r>
            <w:rPr>
              <w:color w:val="auto"/>
              <w:sz w:val="28"/>
              <w:szCs w:val="28"/>
            </w:rPr>
            <w:fldChar w:fldCharType="separate"/>
          </w:r>
          <w:r>
            <w:rPr>
              <w:color w:val="auto"/>
              <w:sz w:val="28"/>
              <w:szCs w:val="28"/>
            </w:rPr>
            <w:t>1</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"_Toc6325" </w:instrText>
          </w:r>
          <w:r>
            <w:rPr>
              <w:color w:val="auto"/>
            </w:rPr>
            <w:fldChar w:fldCharType="separate"/>
          </w:r>
          <w:r>
            <w:rPr>
              <w:color w:val="auto"/>
              <w:sz w:val="28"/>
              <w:szCs w:val="44"/>
            </w:rPr>
            <w:t>三、具体投标项目明细</w:t>
          </w:r>
          <w:r>
            <w:rPr>
              <w:rFonts w:hint="eastAsia"/>
              <w:color w:val="auto"/>
              <w:sz w:val="28"/>
              <w:szCs w:val="44"/>
            </w:rPr>
            <w:t>清单及内容</w:t>
          </w:r>
          <w:r>
            <w:rPr>
              <w:color w:val="auto"/>
              <w:sz w:val="28"/>
              <w:szCs w:val="28"/>
            </w:rPr>
            <w:tab/>
          </w:r>
          <w:r>
            <w:rPr>
              <w:color w:val="auto"/>
              <w:sz w:val="28"/>
              <w:szCs w:val="28"/>
            </w:rPr>
            <w:fldChar w:fldCharType="begin"/>
          </w:r>
          <w:r>
            <w:rPr>
              <w:color w:val="auto"/>
              <w:sz w:val="28"/>
              <w:szCs w:val="28"/>
            </w:rPr>
            <w:instrText xml:space="preserve"> PAGEREF _Toc6325 \h </w:instrText>
          </w:r>
          <w:r>
            <w:rPr>
              <w:color w:val="auto"/>
              <w:sz w:val="28"/>
              <w:szCs w:val="28"/>
            </w:rPr>
            <w:fldChar w:fldCharType="separate"/>
          </w:r>
          <w:r>
            <w:rPr>
              <w:color w:val="auto"/>
              <w:sz w:val="28"/>
              <w:szCs w:val="28"/>
            </w:rPr>
            <w:t>3</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"_Toc32343" </w:instrText>
          </w:r>
          <w:r>
            <w:rPr>
              <w:color w:val="auto"/>
            </w:rPr>
            <w:fldChar w:fldCharType="separate"/>
          </w:r>
          <w:r>
            <w:rPr>
              <w:color w:val="auto"/>
              <w:sz w:val="28"/>
              <w:szCs w:val="44"/>
            </w:rPr>
            <w:t>四、</w:t>
          </w:r>
          <w:r>
            <w:rPr>
              <w:rFonts w:hint="eastAsia"/>
              <w:color w:val="auto"/>
              <w:sz w:val="28"/>
              <w:szCs w:val="44"/>
            </w:rPr>
            <w:t>招标</w:t>
          </w:r>
          <w:r>
            <w:rPr>
              <w:color w:val="auto"/>
              <w:sz w:val="28"/>
              <w:szCs w:val="44"/>
            </w:rPr>
            <w:t>技术</w:t>
          </w:r>
          <w:r>
            <w:rPr>
              <w:rFonts w:hint="eastAsia"/>
              <w:color w:val="auto"/>
              <w:sz w:val="28"/>
              <w:szCs w:val="44"/>
            </w:rPr>
            <w:t>要求</w:t>
          </w:r>
          <w:r>
            <w:rPr>
              <w:color w:val="auto"/>
              <w:sz w:val="28"/>
              <w:szCs w:val="28"/>
            </w:rPr>
            <w:tab/>
          </w:r>
          <w:r>
            <w:rPr>
              <w:color w:val="auto"/>
              <w:sz w:val="28"/>
              <w:szCs w:val="28"/>
            </w:rPr>
            <w:fldChar w:fldCharType="begin"/>
          </w:r>
          <w:r>
            <w:rPr>
              <w:color w:val="auto"/>
              <w:sz w:val="28"/>
              <w:szCs w:val="28"/>
            </w:rPr>
            <w:instrText xml:space="preserve"> PAGEREF _Toc32343 \h </w:instrText>
          </w:r>
          <w:r>
            <w:rPr>
              <w:color w:val="auto"/>
              <w:sz w:val="28"/>
              <w:szCs w:val="28"/>
            </w:rPr>
            <w:fldChar w:fldCharType="separate"/>
          </w:r>
          <w:r>
            <w:rPr>
              <w:color w:val="auto"/>
              <w:sz w:val="28"/>
              <w:szCs w:val="28"/>
            </w:rPr>
            <w:t>5</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"_Toc23502" </w:instrText>
          </w:r>
          <w:r>
            <w:rPr>
              <w:color w:val="auto"/>
            </w:rPr>
            <w:fldChar w:fldCharType="separate"/>
          </w:r>
          <w:r>
            <w:rPr>
              <w:color w:val="auto"/>
              <w:sz w:val="28"/>
              <w:szCs w:val="44"/>
            </w:rPr>
            <w:t>五、</w:t>
          </w:r>
          <w:r>
            <w:rPr>
              <w:rFonts w:hint="eastAsia"/>
              <w:bCs/>
              <w:color w:val="auto"/>
              <w:sz w:val="28"/>
              <w:szCs w:val="44"/>
            </w:rPr>
            <w:t>项目交货期、安装调试及培训</w:t>
          </w:r>
          <w:r>
            <w:rPr>
              <w:color w:val="auto"/>
              <w:sz w:val="28"/>
              <w:szCs w:val="28"/>
            </w:rPr>
            <w:tab/>
          </w:r>
          <w:r>
            <w:rPr>
              <w:color w:val="auto"/>
              <w:sz w:val="28"/>
              <w:szCs w:val="28"/>
            </w:rPr>
            <w:fldChar w:fldCharType="begin"/>
          </w:r>
          <w:r>
            <w:rPr>
              <w:color w:val="auto"/>
              <w:sz w:val="28"/>
              <w:szCs w:val="28"/>
            </w:rPr>
            <w:instrText xml:space="preserve"> PAGEREF _Toc23502 \h </w:instrText>
          </w:r>
          <w:r>
            <w:rPr>
              <w:color w:val="auto"/>
              <w:sz w:val="28"/>
              <w:szCs w:val="28"/>
            </w:rPr>
            <w:fldChar w:fldCharType="separate"/>
          </w:r>
          <w:r>
            <w:rPr>
              <w:color w:val="auto"/>
              <w:sz w:val="28"/>
              <w:szCs w:val="28"/>
            </w:rPr>
            <w:t>24</w:t>
          </w:r>
          <w:r>
            <w:rPr>
              <w:color w:val="auto"/>
              <w:sz w:val="28"/>
              <w:szCs w:val="28"/>
            </w:rPr>
            <w:fldChar w:fldCharType="end"/>
          </w:r>
          <w:r>
            <w:rPr>
              <w:color w:val="auto"/>
              <w:sz w:val="28"/>
              <w:szCs w:val="28"/>
            </w:rPr>
            <w:fldChar w:fldCharType="end"/>
          </w:r>
        </w:p>
        <w:p>
          <w:pPr>
            <w:pStyle w:val="16"/>
            <w:tabs>
              <w:tab w:val="right" w:leader="dot" w:pos="8306"/>
            </w:tabs>
            <w:rPr>
              <w:color w:val="auto"/>
              <w:sz w:val="28"/>
              <w:szCs w:val="28"/>
            </w:rPr>
          </w:pPr>
          <w:r>
            <w:rPr>
              <w:color w:val="auto"/>
            </w:rPr>
            <w:fldChar w:fldCharType="begin"/>
          </w:r>
          <w:r>
            <w:rPr>
              <w:color w:val="auto"/>
            </w:rPr>
            <w:instrText xml:space="preserve"> HYPERLINK \l "_Toc32201" </w:instrText>
          </w:r>
          <w:r>
            <w:rPr>
              <w:color w:val="auto"/>
            </w:rPr>
            <w:fldChar w:fldCharType="separate"/>
          </w:r>
          <w:r>
            <w:rPr>
              <w:bCs/>
              <w:color w:val="auto"/>
              <w:sz w:val="28"/>
              <w:szCs w:val="44"/>
            </w:rPr>
            <w:t>六</w:t>
          </w:r>
          <w:r>
            <w:rPr>
              <w:rFonts w:hint="eastAsia"/>
              <w:bCs/>
              <w:color w:val="auto"/>
              <w:sz w:val="28"/>
              <w:szCs w:val="44"/>
            </w:rPr>
            <w:t>、项目质保及售后服务</w:t>
          </w:r>
          <w:r>
            <w:rPr>
              <w:color w:val="auto"/>
              <w:sz w:val="28"/>
              <w:szCs w:val="28"/>
            </w:rPr>
            <w:tab/>
          </w:r>
          <w:r>
            <w:rPr>
              <w:color w:val="auto"/>
              <w:sz w:val="28"/>
              <w:szCs w:val="28"/>
            </w:rPr>
            <w:fldChar w:fldCharType="begin"/>
          </w:r>
          <w:r>
            <w:rPr>
              <w:color w:val="auto"/>
              <w:sz w:val="28"/>
              <w:szCs w:val="28"/>
            </w:rPr>
            <w:instrText xml:space="preserve"> PAGEREF _Toc32201 \h </w:instrText>
          </w:r>
          <w:r>
            <w:rPr>
              <w:color w:val="auto"/>
              <w:sz w:val="28"/>
              <w:szCs w:val="28"/>
            </w:rPr>
            <w:fldChar w:fldCharType="separate"/>
          </w:r>
          <w:r>
            <w:rPr>
              <w:color w:val="auto"/>
              <w:sz w:val="28"/>
              <w:szCs w:val="28"/>
            </w:rPr>
            <w:t>24</w:t>
          </w:r>
          <w:r>
            <w:rPr>
              <w:color w:val="auto"/>
              <w:sz w:val="28"/>
              <w:szCs w:val="28"/>
            </w:rPr>
            <w:fldChar w:fldCharType="end"/>
          </w:r>
          <w:r>
            <w:rPr>
              <w:color w:val="auto"/>
              <w:sz w:val="28"/>
              <w:szCs w:val="28"/>
            </w:rPr>
            <w:fldChar w:fldCharType="end"/>
          </w:r>
        </w:p>
        <w:p>
          <w:pPr>
            <w:spacing w:line="360" w:lineRule="auto"/>
            <w:jc w:val="both"/>
            <w:outlineLvl w:val="0"/>
            <w:rPr>
              <w:b/>
              <w:bCs/>
              <w:color w:val="auto"/>
              <w:sz w:val="32"/>
              <w:szCs w:val="32"/>
              <w:lang w:eastAsia="zh-CN"/>
            </w:rPr>
            <w:sectPr>
              <w:footerReference r:id="rId6" w:type="default"/>
              <w:pgSz w:w="11906" w:h="16838"/>
              <w:pgMar w:top="1440" w:right="1800" w:bottom="1440" w:left="1800" w:header="851" w:footer="992" w:gutter="0"/>
              <w:pgNumType w:start="1"/>
              <w:cols w:space="720" w:num="1"/>
              <w:docGrid w:type="lines" w:linePitch="326" w:charSpace="0"/>
            </w:sectPr>
          </w:pPr>
          <w:r>
            <w:rPr>
              <w:bCs/>
              <w:color w:val="auto"/>
              <w:sz w:val="40"/>
              <w:szCs w:val="48"/>
              <w:lang w:eastAsia="zh-CN"/>
            </w:rPr>
            <w:fldChar w:fldCharType="end"/>
          </w:r>
        </w:p>
      </w:sdtContent>
    </w:sdt>
    <w:p>
      <w:pPr>
        <w:spacing w:line="360" w:lineRule="auto"/>
        <w:jc w:val="both"/>
        <w:outlineLvl w:val="0"/>
        <w:rPr>
          <w:rFonts w:ascii="宋体" w:eastAsia="宋体" w:cs="宋体"/>
          <w:color w:val="auto"/>
          <w:kern w:val="2"/>
          <w:sz w:val="30"/>
          <w:szCs w:val="30"/>
          <w:lang w:eastAsia="zh-CN" w:bidi="ar-SA"/>
        </w:rPr>
      </w:pPr>
      <w:bookmarkStart w:id="6" w:name="_Toc26727"/>
      <w:r>
        <w:rPr>
          <w:b/>
          <w:bCs/>
          <w:color w:val="auto"/>
          <w:sz w:val="32"/>
          <w:szCs w:val="32"/>
          <w:lang w:eastAsia="zh-CN"/>
        </w:rPr>
        <w:t>一、</w:t>
      </w:r>
      <w:r>
        <w:rPr>
          <w:rFonts w:hint="eastAsia" w:ascii="宋体" w:eastAsia="宋体" w:cs="宋体"/>
          <w:color w:val="auto"/>
          <w:kern w:val="2"/>
          <w:sz w:val="30"/>
          <w:szCs w:val="30"/>
          <w:lang w:eastAsia="zh-CN" w:bidi="ar-SA"/>
        </w:rPr>
        <w:t>项目概况</w:t>
      </w:r>
      <w:bookmarkEnd w:id="6"/>
    </w:p>
    <w:p>
      <w:pPr>
        <w:spacing w:line="360" w:lineRule="auto"/>
        <w:ind w:firstLine="560" w:firstLineChars="200"/>
        <w:rPr>
          <w:rFonts w:ascii="宋体" w:hAnsi="宋体" w:cs="宋体"/>
          <w:color w:val="auto"/>
          <w:sz w:val="28"/>
          <w:szCs w:val="28"/>
          <w:lang w:eastAsia="zh-CN"/>
        </w:rPr>
      </w:pPr>
      <w:r>
        <w:rPr>
          <w:rFonts w:hint="eastAsia" w:ascii="宋体" w:hAnsi="宋体" w:cs="宋体"/>
          <w:color w:val="auto"/>
          <w:sz w:val="28"/>
          <w:szCs w:val="28"/>
          <w:lang w:eastAsia="zh-CN"/>
        </w:rPr>
        <w:t>辽宁开味食品有限公司为涪陵榨菜集团股份有限公司全资子公司，预计年产5万吨泡菜生产基地建设项目。</w:t>
      </w:r>
    </w:p>
    <w:p>
      <w:pPr>
        <w:numPr>
          <w:ilvl w:val="0"/>
          <w:numId w:val="1"/>
        </w:numPr>
        <w:spacing w:line="360" w:lineRule="auto"/>
        <w:outlineLvl w:val="0"/>
        <w:rPr>
          <w:rFonts w:ascii="宋体" w:hAnsi="宋体" w:cs="宋体"/>
          <w:color w:val="auto"/>
          <w:sz w:val="28"/>
          <w:szCs w:val="28"/>
          <w:lang w:eastAsia="zh-CN"/>
        </w:rPr>
      </w:pPr>
      <w:bookmarkStart w:id="7" w:name="_Toc23773"/>
      <w:r>
        <w:rPr>
          <w:rFonts w:hint="eastAsia" w:ascii="宋体" w:hAnsi="宋体" w:cs="宋体"/>
          <w:color w:val="auto"/>
          <w:sz w:val="28"/>
          <w:szCs w:val="28"/>
          <w:lang w:eastAsia="zh-CN"/>
        </w:rPr>
        <w:t>项目地址</w:t>
      </w:r>
      <w:bookmarkEnd w:id="7"/>
    </w:p>
    <w:p>
      <w:pPr>
        <w:spacing w:line="360" w:lineRule="auto"/>
        <w:ind w:firstLine="560" w:firstLineChars="200"/>
        <w:rPr>
          <w:rFonts w:ascii="宋体" w:hAnsi="宋体" w:cs="宋体"/>
          <w:color w:val="auto"/>
          <w:sz w:val="28"/>
          <w:szCs w:val="28"/>
          <w:lang w:eastAsia="zh-CN"/>
        </w:rPr>
      </w:pPr>
      <w:r>
        <w:rPr>
          <w:rFonts w:hint="eastAsia" w:ascii="宋体" w:hAnsi="宋体" w:cs="宋体"/>
          <w:color w:val="auto"/>
          <w:sz w:val="28"/>
          <w:szCs w:val="28"/>
          <w:lang w:eastAsia="zh-CN"/>
        </w:rPr>
        <w:t>辽宁省盘锦市盘山县高升经济开发区兴企街。</w:t>
      </w:r>
    </w:p>
    <w:p>
      <w:pPr>
        <w:numPr>
          <w:ilvl w:val="0"/>
          <w:numId w:val="1"/>
        </w:numPr>
        <w:spacing w:line="360" w:lineRule="auto"/>
        <w:outlineLvl w:val="0"/>
        <w:rPr>
          <w:rFonts w:ascii="宋体" w:hAnsi="宋体" w:cs="宋体"/>
          <w:color w:val="auto"/>
          <w:sz w:val="28"/>
          <w:szCs w:val="28"/>
          <w:lang w:eastAsia="zh-CN"/>
        </w:rPr>
      </w:pPr>
      <w:bookmarkStart w:id="8" w:name="_Toc10907"/>
      <w:r>
        <w:rPr>
          <w:rFonts w:hint="eastAsia" w:ascii="宋体" w:hAnsi="宋体" w:cs="宋体"/>
          <w:color w:val="auto"/>
          <w:sz w:val="28"/>
          <w:szCs w:val="28"/>
          <w:lang w:eastAsia="zh-CN"/>
        </w:rPr>
        <w:t>项目说明</w:t>
      </w:r>
      <w:bookmarkEnd w:id="8"/>
    </w:p>
    <w:p>
      <w:pPr>
        <w:numPr>
          <w:ilvl w:val="0"/>
          <w:numId w:val="2"/>
        </w:numPr>
        <w:spacing w:line="360" w:lineRule="auto"/>
        <w:ind w:firstLine="560" w:firstLineChars="200"/>
        <w:rPr>
          <w:color w:val="auto"/>
          <w:sz w:val="28"/>
          <w:szCs w:val="28"/>
          <w:lang w:eastAsia="zh-CN"/>
        </w:rPr>
      </w:pPr>
      <w:r>
        <w:rPr>
          <w:rFonts w:hint="eastAsia"/>
          <w:color w:val="auto"/>
          <w:sz w:val="28"/>
          <w:szCs w:val="28"/>
          <w:lang w:eastAsia="zh-CN"/>
        </w:rPr>
        <w:t>本项目技术要求：本招标</w:t>
      </w:r>
      <w:r>
        <w:rPr>
          <w:rFonts w:hint="eastAsia" w:eastAsia="宋体"/>
          <w:color w:val="auto"/>
          <w:sz w:val="28"/>
          <w:szCs w:val="28"/>
          <w:lang w:eastAsia="zh-CN"/>
        </w:rPr>
        <w:t>技术要求在</w:t>
      </w:r>
      <w:r>
        <w:rPr>
          <w:rFonts w:hint="eastAsia"/>
          <w:color w:val="auto"/>
          <w:sz w:val="28"/>
          <w:szCs w:val="28"/>
          <w:lang w:eastAsia="zh-CN"/>
        </w:rPr>
        <w:t>中国轻工业成都设计工程有限公司设计图纸</w:t>
      </w:r>
      <w:r>
        <w:rPr>
          <w:rFonts w:hint="eastAsia" w:eastAsia="宋体"/>
          <w:color w:val="auto"/>
          <w:sz w:val="28"/>
          <w:szCs w:val="28"/>
          <w:lang w:eastAsia="zh-CN"/>
        </w:rPr>
        <w:t>上编制</w:t>
      </w:r>
      <w:r>
        <w:rPr>
          <w:rFonts w:hint="eastAsia"/>
          <w:color w:val="auto"/>
          <w:sz w:val="28"/>
          <w:szCs w:val="28"/>
          <w:lang w:eastAsia="zh-CN"/>
        </w:rPr>
        <w:t>，招标文件</w:t>
      </w:r>
      <w:r>
        <w:rPr>
          <w:rFonts w:hint="eastAsia" w:eastAsia="宋体"/>
          <w:color w:val="auto"/>
          <w:sz w:val="28"/>
          <w:szCs w:val="28"/>
          <w:lang w:eastAsia="zh-CN"/>
        </w:rPr>
        <w:t>技术要求</w:t>
      </w:r>
      <w:r>
        <w:rPr>
          <w:rFonts w:hint="eastAsia"/>
          <w:color w:val="auto"/>
          <w:sz w:val="28"/>
          <w:szCs w:val="28"/>
          <w:lang w:eastAsia="zh-CN"/>
        </w:rPr>
        <w:t>与设计图纸不一致的以设计图纸为准。</w:t>
      </w:r>
    </w:p>
    <w:p>
      <w:pPr>
        <w:numPr>
          <w:ilvl w:val="0"/>
          <w:numId w:val="2"/>
        </w:numPr>
        <w:spacing w:line="360" w:lineRule="auto"/>
        <w:ind w:firstLine="560" w:firstLineChars="200"/>
        <w:rPr>
          <w:color w:val="auto"/>
          <w:sz w:val="28"/>
          <w:szCs w:val="28"/>
          <w:lang w:eastAsia="zh-CN"/>
        </w:rPr>
      </w:pPr>
      <w:r>
        <w:rPr>
          <w:rFonts w:hint="eastAsia"/>
          <w:color w:val="auto"/>
          <w:sz w:val="28"/>
          <w:szCs w:val="28"/>
          <w:lang w:eastAsia="zh-CN"/>
        </w:rPr>
        <w:t>本项目为总包工程。投标方负责提供技术方案涉及的所有柴发设备</w:t>
      </w:r>
      <w:r>
        <w:rPr>
          <w:rFonts w:hint="eastAsia" w:eastAsia="宋体"/>
          <w:color w:val="auto"/>
          <w:sz w:val="28"/>
          <w:szCs w:val="28"/>
          <w:lang w:eastAsia="zh-CN"/>
        </w:rPr>
        <w:t>及电缆、进线柜、开关柜采购及敷设安装、</w:t>
      </w:r>
      <w:r>
        <w:rPr>
          <w:rFonts w:hint="eastAsia"/>
          <w:color w:val="auto"/>
          <w:sz w:val="28"/>
          <w:szCs w:val="28"/>
          <w:lang w:eastAsia="zh-CN"/>
        </w:rPr>
        <w:t>电气试验、消防验收</w:t>
      </w:r>
      <w:r>
        <w:rPr>
          <w:rFonts w:hint="eastAsia" w:eastAsia="宋体"/>
          <w:color w:val="auto"/>
          <w:sz w:val="28"/>
          <w:szCs w:val="28"/>
          <w:lang w:eastAsia="zh-CN"/>
        </w:rPr>
        <w:t>、调试验收及</w:t>
      </w:r>
      <w:r>
        <w:rPr>
          <w:rFonts w:hint="eastAsia"/>
          <w:color w:val="auto"/>
          <w:sz w:val="28"/>
          <w:szCs w:val="28"/>
          <w:lang w:eastAsia="zh-CN"/>
        </w:rPr>
        <w:t>售后服务</w:t>
      </w:r>
      <w:r>
        <w:rPr>
          <w:color w:val="auto"/>
          <w:sz w:val="28"/>
          <w:szCs w:val="28"/>
          <w:lang w:eastAsia="zh-CN"/>
        </w:rPr>
        <w:t>，以及电缆、桥架、低压柜安装的管沟、</w:t>
      </w:r>
      <w:r>
        <w:rPr>
          <w:rFonts w:hint="eastAsia"/>
          <w:color w:val="auto"/>
          <w:sz w:val="28"/>
          <w:szCs w:val="28"/>
          <w:lang w:eastAsia="zh-CN"/>
        </w:rPr>
        <w:t>架空管廊、</w:t>
      </w:r>
      <w:r>
        <w:rPr>
          <w:color w:val="auto"/>
          <w:sz w:val="28"/>
          <w:szCs w:val="28"/>
          <w:lang w:eastAsia="zh-CN"/>
        </w:rPr>
        <w:t>支架</w:t>
      </w:r>
      <w:r>
        <w:rPr>
          <w:rFonts w:hint="eastAsia"/>
          <w:color w:val="auto"/>
          <w:sz w:val="28"/>
          <w:szCs w:val="28"/>
          <w:lang w:eastAsia="zh-CN"/>
        </w:rPr>
        <w:t>敷设</w:t>
      </w:r>
      <w:r>
        <w:rPr>
          <w:color w:val="auto"/>
          <w:sz w:val="28"/>
          <w:szCs w:val="28"/>
          <w:lang w:eastAsia="zh-CN"/>
        </w:rPr>
        <w:t>等所有的施工内容</w:t>
      </w:r>
      <w:r>
        <w:rPr>
          <w:rFonts w:hint="eastAsia"/>
          <w:color w:val="auto"/>
          <w:sz w:val="28"/>
          <w:szCs w:val="28"/>
          <w:lang w:eastAsia="zh-CN"/>
        </w:rPr>
        <w:t>。</w:t>
      </w:r>
    </w:p>
    <w:p>
      <w:pPr>
        <w:numPr>
          <w:ilvl w:val="0"/>
          <w:numId w:val="2"/>
        </w:numPr>
        <w:spacing w:line="360" w:lineRule="auto"/>
        <w:ind w:firstLine="560" w:firstLineChars="200"/>
        <w:rPr>
          <w:color w:val="auto"/>
          <w:sz w:val="28"/>
          <w:szCs w:val="28"/>
          <w:lang w:eastAsia="zh-CN"/>
        </w:rPr>
      </w:pPr>
      <w:r>
        <w:rPr>
          <w:rFonts w:hint="eastAsia" w:eastAsia="宋体"/>
          <w:color w:val="auto"/>
          <w:sz w:val="28"/>
          <w:szCs w:val="28"/>
          <w:lang w:eastAsia="zh-CN"/>
        </w:rPr>
        <w:t>本工程在实施期间，有关任何人工、材料、机械价格上涨及环境变化导致现场施工产生的费用增加及各类市场风险和国家政策调价等风险等一切费用不做任何调整，投标方应在投标</w:t>
      </w:r>
      <w:r>
        <w:rPr>
          <w:rFonts w:eastAsia="宋体"/>
          <w:color w:val="auto"/>
          <w:sz w:val="28"/>
          <w:szCs w:val="28"/>
          <w:lang w:eastAsia="zh-CN"/>
        </w:rPr>
        <w:t>前的</w:t>
      </w:r>
      <w:r>
        <w:rPr>
          <w:rFonts w:hint="eastAsia" w:eastAsia="宋体"/>
          <w:color w:val="auto"/>
          <w:sz w:val="28"/>
          <w:szCs w:val="28"/>
          <w:lang w:eastAsia="zh-CN"/>
        </w:rPr>
        <w:t>现场勘查时充分考虑。</w:t>
      </w:r>
    </w:p>
    <w:p>
      <w:pPr>
        <w:tabs>
          <w:tab w:val="left" w:pos="0"/>
        </w:tabs>
        <w:spacing w:line="360" w:lineRule="auto"/>
        <w:rPr>
          <w:rFonts w:eastAsia="宋体"/>
          <w:color w:val="auto"/>
          <w:sz w:val="28"/>
          <w:szCs w:val="28"/>
          <w:lang w:eastAsia="zh-CN"/>
        </w:rPr>
      </w:pPr>
    </w:p>
    <w:p>
      <w:pPr>
        <w:tabs>
          <w:tab w:val="left" w:pos="0"/>
        </w:tabs>
        <w:spacing w:line="360" w:lineRule="auto"/>
        <w:rPr>
          <w:rFonts w:eastAsia="宋体"/>
          <w:color w:val="auto"/>
          <w:sz w:val="28"/>
          <w:szCs w:val="28"/>
          <w:lang w:eastAsia="zh-CN"/>
        </w:rPr>
      </w:pPr>
    </w:p>
    <w:p>
      <w:pPr>
        <w:tabs>
          <w:tab w:val="left" w:pos="0"/>
        </w:tabs>
        <w:spacing w:line="360" w:lineRule="auto"/>
        <w:rPr>
          <w:rFonts w:eastAsia="宋体"/>
          <w:color w:val="auto"/>
          <w:sz w:val="28"/>
          <w:szCs w:val="28"/>
          <w:lang w:eastAsia="zh-CN"/>
        </w:rPr>
      </w:pPr>
    </w:p>
    <w:p>
      <w:pPr>
        <w:tabs>
          <w:tab w:val="left" w:pos="0"/>
        </w:tabs>
        <w:spacing w:line="360" w:lineRule="auto"/>
        <w:rPr>
          <w:rFonts w:eastAsia="宋体"/>
          <w:color w:val="auto"/>
          <w:sz w:val="28"/>
          <w:szCs w:val="28"/>
          <w:lang w:eastAsia="zh-CN"/>
        </w:rPr>
      </w:pPr>
    </w:p>
    <w:p>
      <w:pPr>
        <w:tabs>
          <w:tab w:val="left" w:pos="0"/>
        </w:tabs>
        <w:spacing w:line="360" w:lineRule="auto"/>
        <w:rPr>
          <w:rFonts w:eastAsia="宋体"/>
          <w:color w:val="auto"/>
          <w:sz w:val="28"/>
          <w:szCs w:val="28"/>
          <w:lang w:eastAsia="zh-CN"/>
        </w:rPr>
      </w:pPr>
    </w:p>
    <w:p>
      <w:pPr>
        <w:numPr>
          <w:ilvl w:val="0"/>
          <w:numId w:val="2"/>
        </w:num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项目总平图</w:t>
      </w:r>
    </w:p>
    <w:p>
      <w:pPr>
        <w:tabs>
          <w:tab w:val="left" w:pos="0"/>
        </w:tabs>
        <w:spacing w:line="360" w:lineRule="auto"/>
        <w:ind w:left="480" w:leftChars="200"/>
        <w:rPr>
          <w:rFonts w:eastAsia="宋体"/>
          <w:color w:val="auto"/>
          <w:sz w:val="28"/>
          <w:szCs w:val="28"/>
          <w:lang w:eastAsia="zh-CN"/>
        </w:rPr>
      </w:pPr>
    </w:p>
    <w:p>
      <w:pPr>
        <w:tabs>
          <w:tab w:val="left" w:pos="0"/>
        </w:tabs>
        <w:spacing w:line="360" w:lineRule="auto"/>
        <w:ind w:left="480" w:leftChars="200"/>
        <w:rPr>
          <w:rFonts w:eastAsia="宋体"/>
          <w:color w:val="auto"/>
          <w:sz w:val="28"/>
          <w:szCs w:val="28"/>
          <w:lang w:eastAsia="zh-CN"/>
        </w:rPr>
      </w:pPr>
      <w:r>
        <w:rPr>
          <w:color w:val="auto"/>
          <w:lang w:eastAsia="zh-CN" w:bidi="ar-SA"/>
        </w:rPr>
        <w:drawing>
          <wp:inline distT="0" distB="0" distL="114300" distR="114300">
            <wp:extent cx="5115560" cy="3121660"/>
            <wp:effectExtent l="0" t="0" r="8890" b="25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5115560" cy="3121660"/>
                    </a:xfrm>
                    <a:prstGeom prst="rect">
                      <a:avLst/>
                    </a:prstGeom>
                    <a:noFill/>
                    <a:ln>
                      <a:noFill/>
                    </a:ln>
                  </pic:spPr>
                </pic:pic>
              </a:graphicData>
            </a:graphic>
          </wp:inline>
        </w:drawing>
      </w:r>
    </w:p>
    <w:p>
      <w:pPr>
        <w:tabs>
          <w:tab w:val="left" w:pos="0"/>
        </w:tabs>
        <w:spacing w:line="360" w:lineRule="auto"/>
        <w:rPr>
          <w:rFonts w:eastAsia="宋体"/>
          <w:color w:val="auto"/>
          <w:sz w:val="28"/>
          <w:szCs w:val="28"/>
          <w:lang w:eastAsia="zh-CN"/>
        </w:rPr>
      </w:pPr>
    </w:p>
    <w:p>
      <w:pPr>
        <w:numPr>
          <w:ilvl w:val="0"/>
          <w:numId w:val="2"/>
        </w:numPr>
        <w:spacing w:line="360" w:lineRule="auto"/>
        <w:ind w:firstLine="560" w:firstLineChars="200"/>
        <w:rPr>
          <w:color w:val="auto"/>
          <w:sz w:val="28"/>
          <w:szCs w:val="28"/>
          <w:lang w:eastAsia="zh-CN"/>
        </w:rPr>
      </w:pPr>
      <w:r>
        <w:rPr>
          <w:rFonts w:hint="eastAsia" w:eastAsia="宋体"/>
          <w:color w:val="auto"/>
          <w:sz w:val="28"/>
          <w:szCs w:val="28"/>
          <w:lang w:eastAsia="zh-CN"/>
        </w:rPr>
        <w:t>工程范围（包括但不仅限于）</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1、柴油发电机系统供货、运输、卸货、二次搬运、仓储、就位、安装、降噪、母线安装、调试、验收、消防验收备案、技术培训和售后服务等工程。</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成套开关、进线柜、母排、电缆、桥架、辅材等属于本工程范围内的设施设备的采购、运输、二次搬运、仓储、二级配电箱接线、质检测试、安装和调试、试运行、消防验收备案测试、技术培训和售后服务等工作</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3、属于本工程内的设施设备基础、开孔、开洞、开槽、井道、电缆沟、架空管线施工等配套设施的土建工作。</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w:t>
      </w:r>
      <w:r>
        <w:rPr>
          <w:rFonts w:eastAsia="宋体"/>
          <w:color w:val="auto"/>
          <w:sz w:val="28"/>
          <w:szCs w:val="28"/>
          <w:lang w:eastAsia="zh-CN"/>
        </w:rPr>
        <w:t>总包工程下，满足招标方</w:t>
      </w:r>
      <w:r>
        <w:rPr>
          <w:rFonts w:hint="eastAsia" w:eastAsia="宋体"/>
          <w:color w:val="auto"/>
          <w:sz w:val="28"/>
          <w:szCs w:val="28"/>
          <w:lang w:eastAsia="zh-CN"/>
        </w:rPr>
        <w:t>柴油发电机系统</w:t>
      </w:r>
      <w:r>
        <w:rPr>
          <w:rFonts w:eastAsia="宋体"/>
          <w:color w:val="auto"/>
          <w:sz w:val="28"/>
          <w:szCs w:val="28"/>
          <w:lang w:eastAsia="zh-CN"/>
        </w:rPr>
        <w:t>需求所产生的其它工程内容包含在以上范围之内，招标方不再另外支付费用，投标方在现场踏勘时纳入考虑。</w:t>
      </w:r>
    </w:p>
    <w:p>
      <w:pPr>
        <w:spacing w:line="360" w:lineRule="auto"/>
        <w:ind w:firstLine="560" w:firstLineChars="200"/>
        <w:rPr>
          <w:rFonts w:eastAsia="宋体"/>
          <w:color w:val="auto"/>
          <w:sz w:val="28"/>
          <w:szCs w:val="28"/>
          <w:lang w:eastAsia="zh-CN"/>
        </w:rPr>
      </w:pPr>
    </w:p>
    <w:p>
      <w:pPr>
        <w:spacing w:line="360" w:lineRule="auto"/>
        <w:outlineLvl w:val="0"/>
        <w:rPr>
          <w:rFonts w:eastAsia="宋体"/>
          <w:color w:val="auto"/>
          <w:sz w:val="28"/>
          <w:szCs w:val="28"/>
          <w:lang w:eastAsia="zh-CN"/>
        </w:rPr>
      </w:pPr>
      <w:bookmarkStart w:id="9" w:name="_Toc6325"/>
      <w:r>
        <w:rPr>
          <w:rFonts w:eastAsia="宋体"/>
          <w:color w:val="auto"/>
          <w:sz w:val="28"/>
          <w:szCs w:val="28"/>
          <w:lang w:eastAsia="zh-CN"/>
        </w:rPr>
        <w:t>三、具体投标项目明细</w:t>
      </w:r>
      <w:r>
        <w:rPr>
          <w:rFonts w:hint="eastAsia" w:eastAsia="宋体"/>
          <w:color w:val="auto"/>
          <w:sz w:val="28"/>
          <w:szCs w:val="28"/>
          <w:lang w:eastAsia="zh-CN"/>
        </w:rPr>
        <w:t>清单及内容</w:t>
      </w:r>
      <w:bookmarkEnd w:id="9"/>
      <w:r>
        <w:rPr>
          <w:rFonts w:hint="eastAsia" w:eastAsia="宋体"/>
          <w:color w:val="auto"/>
          <w:sz w:val="28"/>
          <w:szCs w:val="28"/>
          <w:lang w:eastAsia="zh-CN"/>
        </w:rPr>
        <w:t>（包括但不仅限于）</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（一）</w:t>
      </w:r>
      <w:r>
        <w:rPr>
          <w:rFonts w:hint="eastAsia" w:eastAsia="宋体"/>
          <w:color w:val="auto"/>
          <w:sz w:val="28"/>
          <w:szCs w:val="28"/>
          <w:lang w:eastAsia="zh-CN"/>
        </w:rPr>
        <w:t>电缆型号及起止点</w:t>
      </w:r>
      <w:r>
        <w:rPr>
          <w:rFonts w:eastAsia="宋体"/>
          <w:color w:val="auto"/>
          <w:sz w:val="28"/>
          <w:szCs w:val="28"/>
          <w:lang w:eastAsia="zh-CN"/>
        </w:rPr>
        <w:t>，</w:t>
      </w:r>
      <w:r>
        <w:rPr>
          <w:rFonts w:hint="eastAsia" w:eastAsia="宋体"/>
          <w:color w:val="auto"/>
          <w:sz w:val="28"/>
          <w:szCs w:val="28"/>
          <w:lang w:eastAsia="zh-CN"/>
        </w:rPr>
        <w:t>见</w:t>
      </w:r>
      <w:r>
        <w:rPr>
          <w:rFonts w:eastAsia="宋体"/>
          <w:color w:val="auto"/>
          <w:sz w:val="28"/>
          <w:szCs w:val="28"/>
          <w:lang w:eastAsia="zh-CN"/>
        </w:rPr>
        <w:t>下</w:t>
      </w:r>
      <w:r>
        <w:rPr>
          <w:rFonts w:hint="eastAsia" w:eastAsia="宋体"/>
          <w:color w:val="auto"/>
          <w:sz w:val="28"/>
          <w:szCs w:val="28"/>
          <w:lang w:eastAsia="zh-CN"/>
        </w:rPr>
        <w:t>表</w:t>
      </w:r>
      <w:r>
        <w:rPr>
          <w:rFonts w:eastAsia="宋体"/>
          <w:color w:val="auto"/>
          <w:sz w:val="28"/>
          <w:szCs w:val="28"/>
          <w:lang w:eastAsia="zh-CN"/>
        </w:rPr>
        <w:t>：</w:t>
      </w:r>
    </w:p>
    <w:tbl>
      <w:tblPr>
        <w:tblStyle w:val="10"/>
        <w:tblpPr w:leftFromText="180" w:rightFromText="180" w:vertAnchor="text" w:horzAnchor="page" w:tblpXSpec="center" w:tblpY="103"/>
        <w:tblOverlap w:val="never"/>
        <w:tblW w:w="9191" w:type="dxa"/>
        <w:jc w:val="center"/>
        <w:tblLayout w:type="autofit"/>
        <w:tblCellMar>
          <w:top w:w="0" w:type="dxa"/>
          <w:left w:w="0" w:type="dxa"/>
          <w:bottom w:w="0" w:type="dxa"/>
          <w:right w:w="0" w:type="dxa"/>
        </w:tblCellMar>
      </w:tblPr>
      <w:tblGrid>
        <w:gridCol w:w="1435"/>
        <w:gridCol w:w="1919"/>
        <w:gridCol w:w="1441"/>
        <w:gridCol w:w="3364"/>
        <w:gridCol w:w="1032"/>
      </w:tblGrid>
      <w:tr>
        <w:tblPrEx>
          <w:tblCellMar>
            <w:top w:w="0" w:type="dxa"/>
            <w:left w:w="0" w:type="dxa"/>
            <w:bottom w:w="0" w:type="dxa"/>
            <w:right w:w="0" w:type="dxa"/>
          </w:tblCellMar>
        </w:tblPrEx>
        <w:trPr>
          <w:trHeight w:val="285"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起端</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终端</w:t>
            </w: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电缆编号</w:t>
            </w: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电缆型号及规格</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预估数量</w:t>
            </w:r>
          </w:p>
        </w:tc>
      </w:tr>
      <w:tr>
        <w:tblPrEx>
          <w:tblCellMar>
            <w:top w:w="0" w:type="dxa"/>
            <w:left w:w="0" w:type="dxa"/>
            <w:bottom w:w="0" w:type="dxa"/>
            <w:right w:w="0" w:type="dxa"/>
          </w:tblCellMar>
        </w:tblPrEx>
        <w:trPr>
          <w:trHeight w:val="285"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柴油发电机房馈线柜</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锅炉动力电备用电源PB-GL</w:t>
            </w: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C02P01</w:t>
            </w: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ZRYJV-0.6/1kV  3X150+2X70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160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柴油发电机房馈线柜</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9"/>
              <w:widowControl/>
              <w:spacing w:beforeAutospacing="0" w:afterAutospacing="0"/>
              <w:rPr>
                <w:color w:val="auto"/>
              </w:rPr>
            </w:pPr>
            <w:r>
              <w:rPr>
                <w:rFonts w:ascii="宋体" w:hAnsi="宋体" w:eastAsia="宋体" w:cs="宋体"/>
                <w:color w:val="auto"/>
                <w:sz w:val="22"/>
                <w:szCs w:val="22"/>
              </w:rPr>
              <w:t>杀菌段配电箱</w:t>
            </w:r>
          </w:p>
          <w:p>
            <w:pPr>
              <w:pStyle w:val="9"/>
              <w:widowControl/>
              <w:spacing w:beforeAutospacing="0" w:afterAutospacing="0"/>
              <w:rPr>
                <w:color w:val="auto"/>
              </w:rPr>
            </w:pPr>
            <w:r>
              <w:rPr>
                <w:rFonts w:ascii="宋体" w:hAnsi="宋体" w:eastAsia="宋体" w:cs="宋体"/>
                <w:color w:val="auto"/>
                <w:sz w:val="22"/>
                <w:szCs w:val="22"/>
              </w:rPr>
              <w:t>备用电源</w:t>
            </w:r>
          </w:p>
          <w:p>
            <w:pPr>
              <w:widowControl/>
              <w:spacing w:line="360" w:lineRule="auto"/>
              <w:textAlignment w:val="center"/>
              <w:rPr>
                <w:rFonts w:ascii="等线" w:eastAsia="等线" w:cs="等线"/>
                <w:color w:val="auto"/>
                <w:sz w:val="22"/>
                <w:szCs w:val="22"/>
                <w:lang w:eastAsia="zh-CN"/>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9"/>
              <w:widowControl/>
              <w:spacing w:beforeAutospacing="0" w:afterAutospacing="0"/>
              <w:rPr>
                <w:color w:val="auto"/>
              </w:rPr>
            </w:pPr>
            <w:r>
              <w:rPr>
                <w:rFonts w:ascii="宋体" w:hAnsi="宋体" w:eastAsia="宋体" w:cs="宋体"/>
                <w:color w:val="auto"/>
                <w:sz w:val="22"/>
                <w:szCs w:val="22"/>
              </w:rPr>
              <w:t>C06P01</w:t>
            </w:r>
          </w:p>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ZRYJV-0.6/1kV 3X240+2X120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570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柴油发电机房馈线柜</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9"/>
              <w:widowControl/>
              <w:spacing w:beforeAutospacing="0" w:afterAutospacing="0"/>
              <w:rPr>
                <w:color w:val="auto"/>
              </w:rPr>
            </w:pPr>
            <w:r>
              <w:rPr>
                <w:rFonts w:ascii="宋体" w:hAnsi="宋体" w:eastAsia="宋体" w:cs="宋体"/>
                <w:color w:val="auto"/>
                <w:sz w:val="22"/>
                <w:szCs w:val="22"/>
              </w:rPr>
              <w:t>自来水稳压配电箱</w:t>
            </w:r>
          </w:p>
          <w:p>
            <w:pPr>
              <w:pStyle w:val="9"/>
              <w:widowControl/>
              <w:spacing w:beforeAutospacing="0" w:afterAutospacing="0"/>
              <w:rPr>
                <w:color w:val="auto"/>
              </w:rPr>
            </w:pPr>
            <w:r>
              <w:rPr>
                <w:rFonts w:ascii="宋体" w:hAnsi="宋体" w:eastAsia="宋体" w:cs="宋体"/>
                <w:color w:val="auto"/>
                <w:sz w:val="22"/>
                <w:szCs w:val="22"/>
              </w:rPr>
              <w:t>备用电源</w:t>
            </w:r>
          </w:p>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PB-SB</w:t>
            </w: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9"/>
              <w:widowControl/>
              <w:spacing w:beforeAutospacing="0" w:afterAutospacing="0"/>
              <w:rPr>
                <w:rFonts w:eastAsia="宋体"/>
                <w:color w:val="auto"/>
              </w:rPr>
            </w:pPr>
            <w:r>
              <w:rPr>
                <w:rFonts w:ascii="宋体" w:hAnsi="宋体" w:eastAsia="宋体" w:cs="宋体"/>
                <w:color w:val="auto"/>
                <w:sz w:val="22"/>
                <w:szCs w:val="22"/>
              </w:rPr>
              <w:t>C06P0</w:t>
            </w:r>
            <w:r>
              <w:rPr>
                <w:rFonts w:hint="eastAsia" w:ascii="宋体" w:hAnsi="宋体" w:eastAsia="宋体" w:cs="宋体"/>
                <w:color w:val="auto"/>
                <w:sz w:val="22"/>
                <w:szCs w:val="22"/>
              </w:rPr>
              <w:t>3</w:t>
            </w:r>
          </w:p>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pStyle w:val="9"/>
              <w:widowControl/>
              <w:spacing w:beforeAutospacing="0" w:afterAutospacing="0"/>
              <w:rPr>
                <w:color w:val="auto"/>
              </w:rPr>
            </w:pPr>
            <w:r>
              <w:rPr>
                <w:rFonts w:hint="eastAsia" w:ascii="等线" w:eastAsia="等线" w:cs="等线"/>
                <w:color w:val="auto"/>
                <w:sz w:val="22"/>
                <w:szCs w:val="22"/>
              </w:rPr>
              <w:t xml:space="preserve">ZRYJV-0.6/1kV </w:t>
            </w:r>
            <w:r>
              <w:rPr>
                <w:rFonts w:ascii="宋体" w:hAnsi="宋体" w:eastAsia="宋体" w:cs="宋体"/>
                <w:color w:val="auto"/>
                <w:sz w:val="22"/>
                <w:szCs w:val="22"/>
              </w:rPr>
              <w:t>5X16</w:t>
            </w:r>
          </w:p>
          <w:p>
            <w:pPr>
              <w:widowControl/>
              <w:spacing w:line="360" w:lineRule="auto"/>
              <w:textAlignment w:val="center"/>
              <w:rPr>
                <w:rFonts w:ascii="等线" w:eastAsia="等线" w:cs="等线"/>
                <w:color w:val="auto"/>
                <w:sz w:val="22"/>
                <w:szCs w:val="22"/>
                <w:lang w:eastAsia="zh-CN"/>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130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柴油发电机房馈线柜</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LB2配电箱</w:t>
            </w:r>
          </w:p>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锅炉间照明</w:t>
            </w:r>
          </w:p>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备用电源</w:t>
            </w: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C02P04</w:t>
            </w: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ZRYJV-0.6/1kV 5X16</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160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母线</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LB-FR-2500A/4 (L1.L2.L3.PEN)</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20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母牌</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1250A/4 (L1.L2.L3.PE.N)</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10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防火桥架</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400*150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800</w:t>
            </w:r>
          </w:p>
        </w:tc>
      </w:tr>
      <w:tr>
        <w:tblPrEx>
          <w:tblCellMar>
            <w:top w:w="0" w:type="dxa"/>
            <w:left w:w="0" w:type="dxa"/>
            <w:bottom w:w="0" w:type="dxa"/>
            <w:right w:w="0" w:type="dxa"/>
          </w:tblCellMar>
        </w:tblPrEx>
        <w:trPr>
          <w:trHeight w:val="1159" w:hRule="atLeast"/>
          <w:jc w:val="center"/>
        </w:trPr>
        <w:tc>
          <w:tcPr>
            <w:tcW w:w="14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镀锌钢管</w:t>
            </w:r>
          </w:p>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（刷防火漆）</w:t>
            </w:r>
          </w:p>
        </w:tc>
        <w:tc>
          <w:tcPr>
            <w:tcW w:w="19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p>
        </w:tc>
        <w:tc>
          <w:tcPr>
            <w:tcW w:w="33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根据规范配置管径</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360" w:lineRule="auto"/>
              <w:ind w:firstLine="220" w:firstLineChars="100"/>
              <w:jc w:val="center"/>
              <w:textAlignment w:val="center"/>
              <w:rPr>
                <w:rFonts w:ascii="等线" w:eastAsia="等线" w:cs="等线"/>
                <w:color w:val="auto"/>
                <w:sz w:val="22"/>
                <w:szCs w:val="22"/>
                <w:lang w:eastAsia="zh-CN"/>
              </w:rPr>
            </w:pPr>
          </w:p>
        </w:tc>
      </w:tr>
    </w:tbl>
    <w:p>
      <w:pPr>
        <w:spacing w:line="360" w:lineRule="auto"/>
        <w:ind w:left="449" w:leftChars="187" w:firstLine="237" w:firstLineChars="113"/>
        <w:rPr>
          <w:rFonts w:eastAsia="宋体"/>
          <w:color w:val="auto"/>
          <w:sz w:val="21"/>
          <w:szCs w:val="21"/>
          <w:lang w:eastAsia="zh-CN"/>
        </w:rPr>
      </w:pPr>
      <w:r>
        <w:rPr>
          <w:rFonts w:hint="eastAsia" w:eastAsia="宋体"/>
          <w:color w:val="auto"/>
          <w:sz w:val="21"/>
          <w:szCs w:val="21"/>
          <w:lang w:eastAsia="zh-CN"/>
        </w:rPr>
        <w:t>注：1、本次电缆范围为柴发机房非消防负荷段，消防负荷段已完成敷设。</w:t>
      </w:r>
    </w:p>
    <w:p>
      <w:pPr>
        <w:numPr>
          <w:ilvl w:val="0"/>
          <w:numId w:val="3"/>
        </w:numPr>
        <w:spacing w:line="360" w:lineRule="auto"/>
        <w:rPr>
          <w:rFonts w:eastAsia="宋体"/>
          <w:color w:val="auto"/>
          <w:sz w:val="21"/>
          <w:szCs w:val="21"/>
          <w:lang w:eastAsia="zh-CN"/>
        </w:rPr>
      </w:pPr>
      <w:r>
        <w:rPr>
          <w:rFonts w:hint="eastAsia" w:eastAsia="宋体"/>
          <w:color w:val="auto"/>
          <w:sz w:val="21"/>
          <w:szCs w:val="21"/>
          <w:lang w:eastAsia="zh-CN"/>
        </w:rPr>
        <w:t>本次招标包含电缆头制作安装，其他辅助配套设施包含在本招标文件内。</w:t>
      </w:r>
    </w:p>
    <w:p>
      <w:pPr>
        <w:numPr>
          <w:ilvl w:val="0"/>
          <w:numId w:val="3"/>
        </w:numPr>
        <w:spacing w:line="360" w:lineRule="auto"/>
        <w:rPr>
          <w:rFonts w:eastAsia="宋体"/>
          <w:color w:val="auto"/>
          <w:sz w:val="21"/>
          <w:szCs w:val="21"/>
          <w:lang w:eastAsia="zh-CN"/>
        </w:rPr>
      </w:pPr>
      <w:r>
        <w:rPr>
          <w:rFonts w:hint="eastAsia" w:eastAsia="宋体"/>
          <w:color w:val="auto"/>
          <w:sz w:val="21"/>
          <w:szCs w:val="21"/>
          <w:lang w:eastAsia="zh-CN"/>
        </w:rPr>
        <w:t>本次招标范围电缆、桥架、母牌、母线数量以实际踏勘为准，电缆表数量为暂估，不作为投标量。</w:t>
      </w:r>
    </w:p>
    <w:p>
      <w:pPr>
        <w:numPr>
          <w:ilvl w:val="0"/>
          <w:numId w:val="4"/>
        </w:numPr>
        <w:spacing w:line="360" w:lineRule="auto"/>
        <w:ind w:firstLine="560"/>
        <w:rPr>
          <w:rFonts w:eastAsia="宋体"/>
          <w:color w:val="auto"/>
          <w:sz w:val="28"/>
          <w:szCs w:val="28"/>
          <w:lang w:eastAsia="zh-CN"/>
        </w:rPr>
      </w:pPr>
      <w:r>
        <w:rPr>
          <w:rFonts w:hint="eastAsia" w:eastAsia="宋体"/>
          <w:color w:val="auto"/>
          <w:sz w:val="28"/>
          <w:szCs w:val="28"/>
          <w:lang w:eastAsia="zh-CN"/>
        </w:rPr>
        <w:t>动力车间内柴发电机（常载1000kw，备载1100kw）一套，包括但不仅限于：发电机组、发动机、发电机、控制器、母线、出口断路器、控制线、减震系统、发电机组燃油系统（油箱、燃油管路）、启动系统（启动电池及连接线、市电浮充装置安装），排</w:t>
      </w:r>
      <w:bookmarkStart w:id="13" w:name="_GoBack"/>
      <w:bookmarkEnd w:id="13"/>
      <w:r>
        <w:rPr>
          <w:rFonts w:hint="eastAsia" w:eastAsia="宋体"/>
          <w:color w:val="auto"/>
          <w:sz w:val="28"/>
          <w:szCs w:val="28"/>
          <w:lang w:eastAsia="zh-CN"/>
        </w:rPr>
        <w:t>烟系统（排烟消声器、波纹管及其它安装辅材安装）、排气系统（软连接、导风罩制作安装）、进气系统（制作进风风管，确保机组正常运行所需的风量）等。</w:t>
      </w:r>
    </w:p>
    <w:p>
      <w:pPr>
        <w:spacing w:line="360" w:lineRule="auto"/>
        <w:ind w:left="833" w:leftChars="150" w:right="-334" w:rightChars="-139" w:hanging="473" w:hangingChars="169"/>
        <w:rPr>
          <w:rFonts w:eastAsia="宋体"/>
          <w:color w:val="auto"/>
          <w:sz w:val="21"/>
          <w:szCs w:val="21"/>
          <w:lang w:eastAsia="zh-CN"/>
        </w:rPr>
      </w:pPr>
      <w:r>
        <w:rPr>
          <w:rFonts w:hint="eastAsia" w:eastAsia="宋体"/>
          <w:color w:val="auto"/>
          <w:sz w:val="28"/>
          <w:szCs w:val="28"/>
          <w:lang w:eastAsia="zh-CN"/>
        </w:rPr>
        <w:t xml:space="preserve"> </w:t>
      </w:r>
      <w:r>
        <w:rPr>
          <w:rFonts w:hint="eastAsia" w:eastAsia="宋体"/>
          <w:color w:val="auto"/>
          <w:sz w:val="21"/>
          <w:szCs w:val="21"/>
          <w:lang w:eastAsia="zh-CN"/>
        </w:rPr>
        <w:t>注：1、动力车间内柴发电机具体位置参考电施-06-电气冷库、动力中心（R）图纸。</w:t>
      </w:r>
    </w:p>
    <w:p>
      <w:pPr>
        <w:spacing w:line="360" w:lineRule="auto"/>
        <w:ind w:left="960" w:leftChars="400" w:right="-334" w:rightChars="-139"/>
        <w:rPr>
          <w:rFonts w:eastAsia="宋体"/>
          <w:color w:val="auto"/>
          <w:sz w:val="21"/>
          <w:szCs w:val="21"/>
          <w:lang w:eastAsia="zh-CN"/>
        </w:rPr>
      </w:pPr>
      <w:r>
        <w:rPr>
          <w:rFonts w:hint="eastAsia" w:eastAsia="宋体"/>
          <w:color w:val="auto"/>
          <w:sz w:val="21"/>
          <w:szCs w:val="21"/>
          <w:lang w:eastAsia="zh-CN"/>
        </w:rPr>
        <w:t>2、柴油发电机房内柴油发电机系统配置、出线柜配置及安装位置，需满足辽宁省最新消防验收标准，若因消防验收未通过，需按验收标准进行整改。</w:t>
      </w:r>
    </w:p>
    <w:p>
      <w:pPr>
        <w:numPr>
          <w:ilvl w:val="0"/>
          <w:numId w:val="4"/>
        </w:numPr>
        <w:spacing w:line="360" w:lineRule="auto"/>
        <w:ind w:firstLine="560"/>
        <w:rPr>
          <w:rFonts w:eastAsia="宋体"/>
          <w:color w:val="auto"/>
          <w:sz w:val="28"/>
          <w:szCs w:val="28"/>
          <w:lang w:eastAsia="zh-CN"/>
        </w:rPr>
      </w:pPr>
      <w:r>
        <w:rPr>
          <w:rFonts w:hint="eastAsia" w:eastAsia="宋体"/>
          <w:color w:val="auto"/>
          <w:sz w:val="28"/>
          <w:szCs w:val="28"/>
          <w:lang w:eastAsia="zh-CN"/>
        </w:rPr>
        <w:t>成套低压柜：</w:t>
      </w:r>
    </w:p>
    <w:p>
      <w:pPr>
        <w:pStyle w:val="9"/>
        <w:widowControl/>
        <w:spacing w:beforeAutospacing="0" w:afterAutospacing="0"/>
        <w:rPr>
          <w:rFonts w:eastAsia="宋体"/>
          <w:color w:val="auto"/>
          <w:sz w:val="28"/>
          <w:szCs w:val="28"/>
        </w:rPr>
      </w:pPr>
      <w:r>
        <w:rPr>
          <w:rFonts w:hint="eastAsia" w:eastAsia="宋体"/>
          <w:color w:val="auto"/>
          <w:sz w:val="28"/>
          <w:szCs w:val="28"/>
        </w:rPr>
        <w:t xml:space="preserve">     低压进线柜、C05(800X800X2200)、C06(800X800X2200)，包括不仅限于：断路器/开关/熔断器、电流互感器、电压互感器、计量仪表装置，其各回路电压、电流、功率具体参数参考柴油发电机配电系统图设计图纸、电-萝卜清洗修改通知单图纸，</w:t>
      </w:r>
    </w:p>
    <w:p>
      <w:pPr>
        <w:spacing w:line="360" w:lineRule="auto"/>
        <w:ind w:left="444" w:leftChars="100" w:hanging="204" w:hangingChars="85"/>
        <w:rPr>
          <w:rFonts w:eastAsia="宋体"/>
          <w:color w:val="auto"/>
          <w:sz w:val="21"/>
          <w:szCs w:val="21"/>
          <w:lang w:eastAsia="zh-CN"/>
        </w:rPr>
      </w:pPr>
      <w:r>
        <w:rPr>
          <w:rFonts w:hint="eastAsia" w:eastAsia="宋体"/>
          <w:color w:val="auto"/>
          <w:lang w:eastAsia="zh-CN"/>
        </w:rPr>
        <w:t xml:space="preserve">     </w:t>
      </w:r>
      <w:r>
        <w:rPr>
          <w:rFonts w:hint="eastAsia" w:eastAsia="宋体"/>
          <w:color w:val="auto"/>
          <w:sz w:val="21"/>
          <w:szCs w:val="21"/>
          <w:lang w:eastAsia="zh-CN"/>
        </w:rPr>
        <w:t>注：1、消防负荷馈线柜已安装。</w:t>
      </w:r>
    </w:p>
    <w:p>
      <w:pPr>
        <w:pStyle w:val="9"/>
        <w:widowControl/>
        <w:spacing w:beforeAutospacing="0" w:afterAutospacing="0"/>
        <w:rPr>
          <w:rFonts w:eastAsia="宋体"/>
          <w:color w:val="auto"/>
          <w:sz w:val="21"/>
          <w:szCs w:val="21"/>
        </w:rPr>
      </w:pPr>
      <w:r>
        <w:rPr>
          <w:rFonts w:hint="eastAsia" w:eastAsia="宋体"/>
          <w:color w:val="auto"/>
          <w:sz w:val="21"/>
          <w:szCs w:val="21"/>
        </w:rPr>
        <w:t xml:space="preserve">            2、其他元器件规格参考原设计图纸。</w:t>
      </w:r>
    </w:p>
    <w:p>
      <w:pPr>
        <w:spacing w:line="360" w:lineRule="auto"/>
        <w:ind w:left="418" w:leftChars="100" w:hanging="178" w:hangingChars="85"/>
        <w:rPr>
          <w:rFonts w:eastAsia="宋体"/>
          <w:color w:val="auto"/>
          <w:sz w:val="21"/>
          <w:szCs w:val="21"/>
          <w:lang w:eastAsia="zh-CN"/>
        </w:rPr>
      </w:pPr>
    </w:p>
    <w:p>
      <w:pPr>
        <w:spacing w:line="360" w:lineRule="auto"/>
        <w:outlineLvl w:val="0"/>
        <w:rPr>
          <w:rFonts w:eastAsia="宋体"/>
          <w:color w:val="auto"/>
          <w:sz w:val="28"/>
          <w:szCs w:val="28"/>
          <w:lang w:eastAsia="zh-CN"/>
        </w:rPr>
      </w:pPr>
      <w:bookmarkStart w:id="10" w:name="_Toc32343"/>
      <w:r>
        <w:rPr>
          <w:rFonts w:eastAsia="宋体"/>
          <w:color w:val="auto"/>
          <w:sz w:val="28"/>
          <w:szCs w:val="28"/>
          <w:lang w:eastAsia="zh-CN"/>
        </w:rPr>
        <w:t>四、</w:t>
      </w:r>
      <w:r>
        <w:rPr>
          <w:rFonts w:hint="eastAsia" w:eastAsia="宋体"/>
          <w:color w:val="auto"/>
          <w:sz w:val="28"/>
          <w:szCs w:val="28"/>
          <w:lang w:eastAsia="zh-CN"/>
        </w:rPr>
        <w:t>招标</w:t>
      </w:r>
      <w:r>
        <w:rPr>
          <w:rFonts w:eastAsia="宋体"/>
          <w:color w:val="auto"/>
          <w:sz w:val="28"/>
          <w:szCs w:val="28"/>
          <w:lang w:eastAsia="zh-CN"/>
        </w:rPr>
        <w:t>技术</w:t>
      </w:r>
      <w:r>
        <w:rPr>
          <w:rFonts w:hint="eastAsia" w:eastAsia="宋体"/>
          <w:color w:val="auto"/>
          <w:sz w:val="28"/>
          <w:szCs w:val="28"/>
          <w:lang w:eastAsia="zh-CN"/>
        </w:rPr>
        <w:t>要求</w:t>
      </w:r>
      <w:bookmarkEnd w:id="10"/>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（一）</w:t>
      </w:r>
      <w:r>
        <w:rPr>
          <w:rFonts w:hint="eastAsia" w:eastAsia="宋体"/>
          <w:color w:val="auto"/>
          <w:sz w:val="28"/>
          <w:szCs w:val="28"/>
          <w:lang w:eastAsia="zh-CN"/>
        </w:rPr>
        <w:t>投标单位必须列表写明所提供的柴油发电机、低压柜、电缆、元器件生产地、品牌、生产厂相关文件，以及附上该厂家的生产许可证、产地证明、国家强制性产品认证（CCC）证书、各种安全和质量检查证明等文件，必须满足与产品相关的国家标准。</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（二）</w:t>
      </w:r>
      <w:r>
        <w:rPr>
          <w:rFonts w:hint="eastAsia" w:eastAsia="宋体"/>
          <w:color w:val="auto"/>
          <w:sz w:val="28"/>
          <w:szCs w:val="28"/>
          <w:lang w:eastAsia="zh-CN"/>
        </w:rPr>
        <w:t>如果投标方没有以书面形式对本规范书的条文提出异议，则意味着投标方提供的柴发、电缆完全符合本规范书的要求。如有异议，不管是多么微小，都应在报价书中以“技术差异表”为标题的专门章节中加以详细描述。</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（三）柴油发电机技术要求：</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 1执行标准</w:t>
      </w:r>
      <w:r>
        <w:rPr>
          <w:rFonts w:hint="eastAsia" w:eastAsia="宋体"/>
          <w:color w:val="auto"/>
          <w:sz w:val="28"/>
          <w:szCs w:val="28"/>
          <w:lang w:eastAsia="zh-CN"/>
        </w:rPr>
        <w:t>（包括但不仅限于）</w:t>
      </w:r>
    </w:p>
    <w:p>
      <w:pPr>
        <w:spacing w:line="360" w:lineRule="auto"/>
        <w:ind w:left="480" w:leftChars="200"/>
        <w:rPr>
          <w:rFonts w:eastAsia="宋体"/>
          <w:color w:val="auto"/>
          <w:sz w:val="28"/>
          <w:szCs w:val="28"/>
          <w:lang w:eastAsia="zh-CN"/>
        </w:rPr>
      </w:pPr>
      <w:r>
        <w:rPr>
          <w:rFonts w:eastAsia="宋体"/>
          <w:color w:val="auto"/>
          <w:sz w:val="28"/>
          <w:szCs w:val="28"/>
          <w:lang w:eastAsia="zh-CN"/>
        </w:rPr>
        <w:t>工程施工验收规范及标准 ：</w:t>
      </w:r>
    </w:p>
    <w:p>
      <w:pPr>
        <w:spacing w:line="360" w:lineRule="auto"/>
        <w:ind w:left="480" w:leftChars="200"/>
        <w:rPr>
          <w:rFonts w:eastAsia="宋体"/>
          <w:color w:val="auto"/>
          <w:sz w:val="28"/>
          <w:szCs w:val="28"/>
          <w:lang w:eastAsia="zh-CN"/>
        </w:rPr>
      </w:pPr>
      <w:r>
        <w:rPr>
          <w:rFonts w:eastAsia="宋体"/>
          <w:color w:val="auto"/>
          <w:sz w:val="28"/>
          <w:szCs w:val="28"/>
          <w:lang w:eastAsia="zh-CN"/>
        </w:rPr>
        <w:t>《声环境质量标准》                      GB3096-2008</w:t>
      </w:r>
    </w:p>
    <w:p>
      <w:pPr>
        <w:spacing w:line="360" w:lineRule="auto"/>
        <w:ind w:left="480" w:leftChars="200"/>
        <w:rPr>
          <w:rFonts w:eastAsia="宋体"/>
          <w:color w:val="auto"/>
          <w:sz w:val="28"/>
          <w:szCs w:val="28"/>
          <w:lang w:eastAsia="zh-CN"/>
        </w:rPr>
      </w:pPr>
      <w:r>
        <w:rPr>
          <w:rFonts w:eastAsia="宋体"/>
          <w:color w:val="auto"/>
          <w:sz w:val="28"/>
          <w:szCs w:val="28"/>
          <w:lang w:eastAsia="zh-CN"/>
        </w:rPr>
        <w:t>《民用建筑隔声设计规范》                GB50118-2010</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《工业企业厂界环境噪声排放标准》        GB12348-2008 </w:t>
      </w:r>
    </w:p>
    <w:p>
      <w:pPr>
        <w:spacing w:line="360" w:lineRule="auto"/>
        <w:ind w:left="480" w:leftChars="200"/>
        <w:rPr>
          <w:rFonts w:eastAsia="宋体"/>
          <w:color w:val="auto"/>
          <w:sz w:val="28"/>
          <w:szCs w:val="28"/>
          <w:lang w:eastAsia="zh-CN"/>
        </w:rPr>
      </w:pPr>
      <w:r>
        <w:rPr>
          <w:rFonts w:eastAsia="宋体"/>
          <w:color w:val="auto"/>
          <w:sz w:val="28"/>
          <w:szCs w:val="28"/>
          <w:lang w:eastAsia="zh-CN"/>
        </w:rPr>
        <w:t>《大气污染物综合排放标准》              GB 16297 -1996</w:t>
      </w:r>
    </w:p>
    <w:p>
      <w:pPr>
        <w:spacing w:line="360" w:lineRule="auto"/>
        <w:ind w:left="480" w:leftChars="200"/>
        <w:rPr>
          <w:rFonts w:eastAsia="宋体"/>
          <w:color w:val="auto"/>
          <w:sz w:val="28"/>
          <w:szCs w:val="28"/>
          <w:lang w:eastAsia="zh-CN"/>
        </w:rPr>
      </w:pPr>
      <w:r>
        <w:rPr>
          <w:rFonts w:eastAsia="宋体"/>
          <w:color w:val="auto"/>
          <w:sz w:val="28"/>
          <w:szCs w:val="28"/>
          <w:lang w:eastAsia="zh-CN"/>
        </w:rPr>
        <w:t>《民用建筑电气设计规范》                JGJ16-2008</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《钢结构设计标准》                      GB50017-2017 </w:t>
      </w:r>
    </w:p>
    <w:p>
      <w:pPr>
        <w:spacing w:line="360" w:lineRule="auto"/>
        <w:ind w:left="480" w:leftChars="200"/>
        <w:rPr>
          <w:rFonts w:eastAsia="宋体"/>
          <w:color w:val="auto"/>
          <w:sz w:val="28"/>
          <w:szCs w:val="28"/>
          <w:lang w:eastAsia="zh-CN"/>
        </w:rPr>
      </w:pPr>
      <w:r>
        <w:rPr>
          <w:rFonts w:eastAsia="宋体"/>
          <w:color w:val="auto"/>
          <w:sz w:val="28"/>
          <w:szCs w:val="28"/>
          <w:lang w:eastAsia="zh-CN"/>
        </w:rPr>
        <w:t>《烟囱工程施工及验收规范》              GB50078-2008</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设备以及主要材料相关标准：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《往复式内燃交流发电机组》              IS08528-1-6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《往复式内燃机驱动的发电机》            BS5000-3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《往复式内燃机》                        IS03046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《旋转电机的一般要求》                  BS4999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《发电机和电动机》                      NEMA MG21 </w:t>
      </w:r>
    </w:p>
    <w:p>
      <w:pPr>
        <w:spacing w:line="360" w:lineRule="auto"/>
        <w:ind w:left="480" w:leftChars="200"/>
        <w:rPr>
          <w:rFonts w:eastAsia="宋体"/>
          <w:color w:val="auto"/>
          <w:sz w:val="28"/>
          <w:szCs w:val="28"/>
          <w:lang w:eastAsia="zh-CN"/>
        </w:rPr>
      </w:pPr>
      <w:r>
        <w:rPr>
          <w:rFonts w:eastAsia="宋体"/>
          <w:color w:val="auto"/>
          <w:sz w:val="28"/>
          <w:szCs w:val="28"/>
          <w:lang w:eastAsia="zh-CN"/>
        </w:rPr>
        <w:t>《往复式内燃机驱动的交流发电机组》      GB/T2820</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《自动化柴油发电机组分级要求》          GB/T4712-1996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《烟囱设计规范》                        GB50051-2002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《建筑抗震设计规范》                    GB50011-2001 </w:t>
      </w:r>
    </w:p>
    <w:p>
      <w:pPr>
        <w:spacing w:line="360" w:lineRule="auto"/>
        <w:ind w:left="480" w:leftChars="200"/>
        <w:rPr>
          <w:rFonts w:eastAsia="宋体"/>
          <w:color w:val="auto"/>
          <w:sz w:val="28"/>
          <w:szCs w:val="28"/>
          <w:lang w:eastAsia="zh-CN"/>
        </w:rPr>
      </w:pPr>
      <w:r>
        <w:rPr>
          <w:rFonts w:eastAsia="宋体"/>
          <w:color w:val="auto"/>
          <w:sz w:val="28"/>
          <w:szCs w:val="28"/>
          <w:lang w:eastAsia="zh-CN"/>
        </w:rPr>
        <w:t xml:space="preserve">《工业设备及管道绝热工程设计规范》      GB20264 </w:t>
      </w:r>
    </w:p>
    <w:p>
      <w:pPr>
        <w:spacing w:line="360" w:lineRule="auto"/>
        <w:ind w:left="480" w:leftChars="200"/>
        <w:rPr>
          <w:rFonts w:eastAsia="宋体"/>
          <w:color w:val="auto"/>
          <w:sz w:val="28"/>
          <w:szCs w:val="28"/>
          <w:lang w:eastAsia="zh-CN"/>
        </w:rPr>
      </w:pPr>
      <w:r>
        <w:rPr>
          <w:rFonts w:eastAsia="宋体"/>
          <w:color w:val="auto"/>
          <w:sz w:val="28"/>
          <w:szCs w:val="28"/>
          <w:lang w:eastAsia="zh-CN"/>
        </w:rPr>
        <w:t>《金属波纹膨胀通用技术条件》            GB/T12777</w:t>
      </w:r>
    </w:p>
    <w:p>
      <w:pPr>
        <w:spacing w:line="360" w:lineRule="auto"/>
        <w:ind w:left="480" w:leftChars="200" w:firstLine="280" w:firstLineChars="100"/>
        <w:rPr>
          <w:rFonts w:eastAsia="宋体"/>
          <w:color w:val="auto"/>
          <w:sz w:val="28"/>
          <w:szCs w:val="28"/>
          <w:lang w:eastAsia="zh-CN"/>
        </w:rPr>
      </w:pPr>
      <w:r>
        <w:rPr>
          <w:rFonts w:hint="eastAsia" w:eastAsia="宋体"/>
          <w:color w:val="auto"/>
          <w:sz w:val="28"/>
          <w:szCs w:val="28"/>
          <w:lang w:eastAsia="zh-CN"/>
        </w:rPr>
        <w:t>满足以下使用环境要求：</w:t>
      </w:r>
    </w:p>
    <w:p>
      <w:pPr>
        <w:spacing w:line="360" w:lineRule="auto"/>
        <w:ind w:left="480" w:leftChars="200" w:firstLine="280" w:firstLineChars="100"/>
        <w:rPr>
          <w:rFonts w:eastAsia="宋体"/>
          <w:color w:val="auto"/>
          <w:sz w:val="28"/>
          <w:szCs w:val="28"/>
          <w:lang w:eastAsia="zh-CN"/>
        </w:rPr>
      </w:pPr>
      <w:r>
        <w:rPr>
          <w:rFonts w:eastAsia="宋体"/>
          <w:color w:val="auto"/>
          <w:sz w:val="28"/>
          <w:szCs w:val="28"/>
          <w:lang w:eastAsia="zh-CN"/>
        </w:rPr>
        <w:t>海拔高度：＜1000米</w:t>
      </w:r>
    </w:p>
    <w:p>
      <w:pPr>
        <w:spacing w:line="360" w:lineRule="auto"/>
        <w:ind w:left="480" w:leftChars="200" w:firstLine="280" w:firstLineChars="100"/>
        <w:rPr>
          <w:rFonts w:eastAsia="宋体"/>
          <w:color w:val="auto"/>
          <w:sz w:val="28"/>
          <w:szCs w:val="28"/>
          <w:lang w:eastAsia="zh-CN"/>
        </w:rPr>
      </w:pPr>
      <w:r>
        <w:rPr>
          <w:rFonts w:eastAsia="宋体"/>
          <w:color w:val="auto"/>
          <w:sz w:val="28"/>
          <w:szCs w:val="28"/>
          <w:lang w:eastAsia="zh-CN"/>
        </w:rPr>
        <w:t>最高温度：+55 ºC</w:t>
      </w:r>
    </w:p>
    <w:p>
      <w:pPr>
        <w:spacing w:line="360" w:lineRule="auto"/>
        <w:ind w:left="480" w:leftChars="200" w:firstLine="280" w:firstLineChars="100"/>
        <w:rPr>
          <w:rFonts w:eastAsia="宋体"/>
          <w:color w:val="auto"/>
          <w:sz w:val="28"/>
          <w:szCs w:val="28"/>
          <w:lang w:eastAsia="zh-CN"/>
        </w:rPr>
      </w:pPr>
      <w:r>
        <w:rPr>
          <w:rFonts w:eastAsia="宋体"/>
          <w:color w:val="auto"/>
          <w:sz w:val="28"/>
          <w:szCs w:val="28"/>
          <w:lang w:eastAsia="zh-CN"/>
        </w:rPr>
        <w:t>最低温度：-25ºC</w:t>
      </w:r>
    </w:p>
    <w:p>
      <w:pPr>
        <w:spacing w:line="360" w:lineRule="auto"/>
        <w:ind w:left="480" w:leftChars="200" w:firstLine="280" w:firstLineChars="100"/>
        <w:rPr>
          <w:rFonts w:eastAsia="宋体"/>
          <w:color w:val="auto"/>
          <w:sz w:val="28"/>
          <w:szCs w:val="28"/>
          <w:lang w:eastAsia="zh-CN"/>
        </w:rPr>
      </w:pPr>
      <w:r>
        <w:rPr>
          <w:rFonts w:eastAsia="宋体"/>
          <w:color w:val="auto"/>
          <w:sz w:val="28"/>
          <w:szCs w:val="28"/>
          <w:lang w:eastAsia="zh-CN"/>
        </w:rPr>
        <w:t>适用于以下温度</w:t>
      </w:r>
      <w:r>
        <w:rPr>
          <w:rFonts w:hint="eastAsia" w:eastAsia="宋体"/>
          <w:color w:val="auto"/>
          <w:sz w:val="28"/>
          <w:szCs w:val="28"/>
          <w:lang w:eastAsia="zh-CN"/>
        </w:rPr>
        <w:t>运行</w:t>
      </w:r>
      <w:r>
        <w:rPr>
          <w:rFonts w:eastAsia="宋体"/>
          <w:color w:val="auto"/>
          <w:sz w:val="28"/>
          <w:szCs w:val="28"/>
          <w:lang w:eastAsia="zh-CN"/>
        </w:rPr>
        <w:t>：-25ºC～+55ºC</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2、专用技术要求</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（1）生产厂家出厂测试报告和产地证明文件；产品出厂前需进行满负荷运行试验、可监督运行情况。</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（2）柴油机组的机房，应保证满足起动温度需要。当环境温度达不到起动要求时，应采用局部或整机预热装置。</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（3）有防止误入市政电网措施。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（4）柴油发电机组出口断路器柜由柴油发电机组配套组装。</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（5）柴油发电机组出线盒、出口断路器柜至各密集型铜母线槽、母排的软连接由机组厂家成套制作。</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（6）当消防回路的工作电流大于该回路报警电流时，报警电流表延时10S发出声光报警同时将报警信号传至后台系统显示。</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（7）柴油发电机下馈线柜需具备：当厂区消防报警时，可自动切换为厂区消防负荷，切断非消负荷，报警消除时，可自动切换非消负荷，切断消防负荷。</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（8）柴油发电机的低压开关柜供货厂商负责完成低压开关柜与柴油柴油发电机之间的封闭母线槽（桥）的设计、供货（包括连接和安装附件），并根据安装的实际情况进行实测后完成制作，确保其可靠连接。</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（9）机房应做消音、隔声处理。机组基础应采取减振措施。当机组设置在主体建筑内或地下层时，应防止与房屋产生共振现象。</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（10）柴油发电机应采用丙类柴油作燃料。本次招标包含储油箱，储油间的油箱应密闭，且应设置通向室外的通气管应设置带阻火器的呼吸阀。油箱的下部应设置防止油品流散的设施。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（11）柴油机的排烟通过排烟管排出，严禁排出的烟气与排风混合，排烟有相关处理措施，排放必须符合相关部门的相关规定（包括不仅限于《大气污染物综合排放标准》（DB 50/418-2016）、</w:t>
      </w:r>
      <w:r>
        <w:rPr>
          <w:rFonts w:hint="eastAsia" w:eastAsia="宋体"/>
          <w:color w:val="auto"/>
          <w:sz w:val="28"/>
          <w:szCs w:val="28"/>
          <w:lang w:eastAsia="zh-CN"/>
        </w:rPr>
        <w:tab/>
      </w:r>
      <w:r>
        <w:rPr>
          <w:rFonts w:hint="eastAsia" w:eastAsia="宋体"/>
          <w:color w:val="auto"/>
          <w:sz w:val="28"/>
          <w:szCs w:val="28"/>
          <w:lang w:eastAsia="zh-CN"/>
        </w:rPr>
        <w:t>建筑物排烟系统技术标准（GB51251-2017）及其他现有环保相关标准），柴发机房排烟、排风及其他必要的开洞、孔包含在此招标文件施工内容中。</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（12）柴油发电机投入使用、验收前，其搬运保护、成品设施防护由投标方负责。</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（13）柴油发电机布置不得违反工业与民用配电设计手册第四版上册第3.3柴油发电机房布置要求规范。</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（14）柴油发电机提供负荷应满足本招标图纸设计所有负荷同时启动正常运行，若因消防验收不通过的，则中标方应承担相应整改、扩容费用。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3、通用技术要求</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 机组的具体技术指标如下：</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1）额定电压：230/400V（三相四线）。</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2）额定频率：50Hz。</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3）额定转速：1500rpm。</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4）功率因数：0.8（滞后）。</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5）噪音：柴油发电机房除机组下设减振装置、排烟管上设消音器外，机房亦做消音、隔声处理，具体要求参见柴发图纸。</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6）结构：机组为一体式结构，底座选用高强度型钢制作，配备高性能弹簧减震装置；风扇水箱冷却，控制屏安装在机组侧面或电机顶端；机组尺寸需满足机房预留之安装空间。</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7）电压稳态调整率：≤±0.5%，电压瞬态调整+20~-15%，频率稳态调整率：≤±0.5%。</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频率瞬态调整率：＋10～－7%，电压波动率：≤±1.0%，频率波动率：≤±0.5%。</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8）机组由高能免维护铅酸蓄电池组启动，电池容量必需能连续启动机组六次；具有柴油机拖动的充电功能和市电充电的浮充功能，并配备有市电充电器。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9）机组的启动方式：</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A．手动开关启动；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B．远程手动启动；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10）机组的自动启动供电与自动加载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每个启动循环为三次，两次启动间歇时间为10~30S。</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11）机组自动启动成功率：≥99%。</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12）机组报警装置：</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a．水温过高、水位过低报警；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b．机油压力报警；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c．机组超速报警；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 xml:space="preserve">    d．电池电压过低报警；</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13）自动保护功能：机油压力低、水温高、转速过高/过低、输出电压过高/过低、电流过载、短路、缺相时应能停机保护。</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14）机组的自动停机可靠性：</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 xml:space="preserve">    正常停机：切断主电路后空载运行5min，切断油路；</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 xml:space="preserve">    紧急停机：立即切断主电路，切断油路、电路、气路。</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15）机组的具体技术指标均需提供厂家加盖鲜章的彩页技术资料证明文件或检测报告。</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（2）柴油机</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1）调速方式：电子调速。</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2）进气方式：带废气涡轮增压。</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3）启动方式：24V直流电动马达启动。</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4）滤清系统：采用可换式机油/柴油滤清器和干式空气过滤器，过滤后需满足国家相关排放标准。</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5）排气系统：采用高效降噪消音器及弹性波纹管弹性连接件，达到国三以上标准，需提供排放检测报告，且符合当地柴发排放标准，需提供T3排放检测报告。</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6）冷却方式：闭式循环水箱风扇冷却，机组散热水箱需加满防冻液。</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7）水套预热装置：提供机组缸套水恒温预热装置。</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8）燃油型号：0#轻柴。</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9）润滑油：SAE 15W-40 API CF级以上，机组移交需加满机油。</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10）结构：机组为一体式结构，底座选用高强制钢材制作，配备高性能减震装置。</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11）燃油系统：电喷/电控等。</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（3）交流发电机</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1）类型：自散热、单轴承；</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2）励磁：1000KW机组为永磁；</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3）电压调节器：配用AVR/DVR电压调节装置，精度优良，DVR为密封结构，具备抗潮和防震的特点；</w:t>
      </w:r>
    </w:p>
    <w:p>
      <w:pPr>
        <w:spacing w:line="360" w:lineRule="auto"/>
        <w:ind w:left="478" w:leftChars="100" w:hanging="238" w:hangingChars="85"/>
        <w:rPr>
          <w:rFonts w:eastAsia="宋体"/>
          <w:color w:val="auto"/>
          <w:sz w:val="28"/>
          <w:szCs w:val="28"/>
          <w:lang w:eastAsia="zh-CN"/>
        </w:rPr>
      </w:pPr>
      <w:r>
        <w:rPr>
          <w:rFonts w:hint="eastAsia" w:eastAsia="宋体"/>
          <w:color w:val="auto"/>
          <w:sz w:val="28"/>
          <w:szCs w:val="28"/>
          <w:lang w:eastAsia="zh-CN"/>
        </w:rPr>
        <w:t>4）绝缘等级：H级；</w:t>
      </w:r>
    </w:p>
    <w:p>
      <w:pPr>
        <w:spacing w:line="360" w:lineRule="auto"/>
        <w:ind w:left="478" w:leftChars="100" w:hanging="238" w:hangingChars="85"/>
        <w:rPr>
          <w:rFonts w:eastAsia="宋体"/>
          <w:color w:val="auto"/>
          <w:sz w:val="28"/>
          <w:szCs w:val="28"/>
          <w:lang w:eastAsia="zh-CN"/>
        </w:rPr>
      </w:pPr>
      <w:r>
        <w:rPr>
          <w:rFonts w:hint="eastAsia" w:eastAsia="宋体"/>
          <w:color w:val="auto"/>
          <w:sz w:val="28"/>
          <w:szCs w:val="28"/>
          <w:lang w:eastAsia="zh-CN"/>
        </w:rPr>
        <w:t>5）接线方式：三相四线；</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6）防护等级：IP23；</w:t>
      </w:r>
    </w:p>
    <w:p>
      <w:pPr>
        <w:spacing w:line="360" w:lineRule="auto"/>
        <w:ind w:left="240" w:leftChars="100"/>
        <w:rPr>
          <w:rFonts w:eastAsia="宋体"/>
          <w:color w:val="auto"/>
          <w:sz w:val="28"/>
          <w:szCs w:val="28"/>
          <w:lang w:eastAsia="zh-CN"/>
        </w:rPr>
      </w:pPr>
      <w:r>
        <w:rPr>
          <w:rFonts w:hint="eastAsia" w:eastAsia="宋体"/>
          <w:color w:val="auto"/>
          <w:sz w:val="28"/>
          <w:szCs w:val="28"/>
          <w:lang w:eastAsia="zh-CN"/>
        </w:rPr>
        <w:t>7) 发电机必须符合GB/T2820、GB1105、YD/T502、ISO3046、ISO8528、BS5514、DIN6271、SAEJ1349、VDE0530、DIN6280、IEC34等制造技术标准。</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（4）控制系统</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1）可测量显示如下信息：（中文液晶显示）</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三相线电压；三相相电压；三相电流；转速;频率；水温；油压；有功、无功功率；功率因素；视在功率；运行时间；启动次数；下次检修时间；电池电压；有功、无功电度表；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2）控制功能：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a．手动/停止两种运行方式选择功能；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b．具备蓄电池弱电量监测报警功能。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c. 控制屏必须有故障事件日志记录功能，便于故障查找维护；</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d. 控制系统具备对交流发电机组热损坏保护功能，承受300%额定电流10秒。</w:t>
      </w:r>
    </w:p>
    <w:p>
      <w:pPr>
        <w:numPr>
          <w:ilvl w:val="0"/>
          <w:numId w:val="5"/>
        </w:numPr>
        <w:spacing w:line="360" w:lineRule="auto"/>
        <w:ind w:left="480" w:leftChars="200"/>
        <w:rPr>
          <w:rFonts w:eastAsia="宋体"/>
          <w:color w:val="auto"/>
          <w:sz w:val="28"/>
          <w:szCs w:val="28"/>
          <w:lang w:eastAsia="zh-CN"/>
        </w:rPr>
      </w:pPr>
      <w:r>
        <w:rPr>
          <w:rFonts w:hint="eastAsia" w:eastAsia="宋体"/>
          <w:color w:val="auto"/>
          <w:sz w:val="28"/>
          <w:szCs w:val="28"/>
          <w:lang w:eastAsia="zh-CN"/>
        </w:rPr>
        <w:t>自动保护和报警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a．发动机发生轻微故障（如冷却水温高、机油温度高、机油压力低、过负荷、三次启动失败等），发出声、光报警、并允许手动停车。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b．发动机发生严重故障（如冷却水温过高、机油温度过高、机油压力过低、超速、电压过低或过高等），使发动机处于预定的危险阶段时，应立即自动停车、并发出声、光报警信号。</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c. 发动机在过流、供电母线短路、断相、电压过高、失压时立即自动跳闸、并发出声光报警。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d. 所有声光报警信号和解除开关必须接至控制器上。</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6)</w:t>
      </w:r>
      <w:r>
        <w:rPr>
          <w:rFonts w:hint="eastAsia" w:eastAsia="宋体"/>
          <w:color w:val="auto"/>
          <w:sz w:val="28"/>
          <w:szCs w:val="28"/>
          <w:lang w:eastAsia="zh-CN"/>
        </w:rPr>
        <w:tab/>
      </w:r>
      <w:r>
        <w:rPr>
          <w:rFonts w:hint="eastAsia" w:eastAsia="宋体"/>
          <w:color w:val="auto"/>
          <w:sz w:val="28"/>
          <w:szCs w:val="28"/>
          <w:lang w:eastAsia="zh-CN"/>
        </w:rPr>
        <w:t>自动对起动蓄电池充电。</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7)</w:t>
      </w:r>
      <w:r>
        <w:rPr>
          <w:rFonts w:hint="eastAsia" w:eastAsia="宋体"/>
          <w:color w:val="auto"/>
          <w:sz w:val="28"/>
          <w:szCs w:val="28"/>
          <w:lang w:eastAsia="zh-CN"/>
        </w:rPr>
        <w:tab/>
      </w:r>
      <w:r>
        <w:rPr>
          <w:rFonts w:hint="eastAsia" w:eastAsia="宋体"/>
          <w:color w:val="auto"/>
          <w:sz w:val="28"/>
          <w:szCs w:val="28"/>
          <w:lang w:eastAsia="zh-CN"/>
        </w:rPr>
        <w:t>机组具有自动计时的功能。</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（5）辅助供油系统</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1）日用油箱：</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1000kw柴油发电机油箱容量为1000L的日用油箱（满载情况，8小时的需用量）。</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油箱材质为优质钢板并做防腐处理，要求钢板厚度达到规范要求；设有油位观察窗、排污阀、加油口等；油箱供油和回油区域应设有带孔隔板，以减少热交换。</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2）油箱供油管端位置应高于油箱底部约50mm，以防止沉积物和水被吸入供油管；部分机组油箱油位应高于发动机喷油器位置；以防喷油器回油，启动困难。</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3）中标人需提供油箱大样图纸、发电机房油路平面图；图中须标明材料设备规格、安装要求等。</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4）储油间应采用防火墙与发电机间隔开，当必须在防火墙上开门时，应设置能自行关闭的甲级防火门，并向发电机间开启。</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（6）柴油发电机组安装处理要求</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安装包括设备做减震措施，发电机组燃油系统措施（油箱、燃油管路），启动系统（启动电池及连接线、市电浮充装置安装），排烟系统（排烟消声器、波纹管及其它安装辅材安装），排气系统（软连接、导风罩制作安装），进气系统（制作进风风管，并用防爆轴流风机强制引流至每台机组正后面确保机组正常运行所需的风量）。</w:t>
      </w:r>
    </w:p>
    <w:p>
      <w:pPr>
        <w:tabs>
          <w:tab w:val="left" w:pos="1200"/>
        </w:tabs>
        <w:spacing w:line="360" w:lineRule="auto"/>
        <w:ind w:left="480" w:leftChars="200"/>
        <w:rPr>
          <w:rFonts w:asciiTheme="minorEastAsia" w:hAnsiTheme="minorEastAsia" w:eastAsiaTheme="minorEastAsia" w:cstheme="minorEastAsia"/>
          <w:color w:val="auto"/>
          <w:sz w:val="28"/>
          <w:szCs w:val="28"/>
          <w:lang w:eastAsia="zh-CN"/>
        </w:rPr>
      </w:pPr>
      <w:r>
        <w:rPr>
          <w:rFonts w:hint="eastAsia" w:asciiTheme="minorEastAsia" w:hAnsiTheme="minorEastAsia" w:eastAsiaTheme="minorEastAsia" w:cstheme="minorEastAsia"/>
          <w:bCs/>
          <w:color w:val="auto"/>
          <w:sz w:val="28"/>
          <w:szCs w:val="28"/>
          <w:lang w:eastAsia="zh-CN"/>
        </w:rPr>
        <w:t>2）降噪工程：达到本次招标图纸设计要求。</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3）对柴油发电机组进行安装、调试、培训直至运行正常交付给业主。</w:t>
      </w:r>
    </w:p>
    <w:p>
      <w:pPr>
        <w:spacing w:line="360" w:lineRule="auto"/>
        <w:ind w:left="240" w:leftChars="100" w:firstLine="238" w:firstLineChars="85"/>
        <w:rPr>
          <w:rFonts w:eastAsia="宋体"/>
          <w:color w:val="auto"/>
          <w:sz w:val="28"/>
          <w:szCs w:val="28"/>
          <w:lang w:eastAsia="zh-CN"/>
        </w:rPr>
      </w:pPr>
      <w:r>
        <w:rPr>
          <w:rFonts w:hint="eastAsia" w:eastAsia="宋体"/>
          <w:color w:val="auto"/>
          <w:sz w:val="28"/>
          <w:szCs w:val="28"/>
          <w:lang w:eastAsia="zh-CN"/>
        </w:rPr>
        <w:t>4、售后服务要求</w:t>
      </w:r>
    </w:p>
    <w:p>
      <w:pPr>
        <w:spacing w:line="360" w:lineRule="auto"/>
        <w:ind w:left="475" w:leftChars="183" w:hanging="36" w:hangingChars="13"/>
        <w:rPr>
          <w:rFonts w:eastAsia="宋体"/>
          <w:color w:val="auto"/>
          <w:sz w:val="28"/>
          <w:szCs w:val="28"/>
          <w:lang w:eastAsia="zh-CN"/>
        </w:rPr>
      </w:pPr>
      <w:r>
        <w:rPr>
          <w:rFonts w:hint="eastAsia" w:eastAsia="宋体"/>
          <w:color w:val="auto"/>
          <w:sz w:val="28"/>
          <w:szCs w:val="28"/>
          <w:lang w:eastAsia="zh-CN"/>
        </w:rPr>
        <w:t>（1）为满足本地化服务要求，要求柴发、成套柜设备故障响应时间低于4小时；</w:t>
      </w:r>
    </w:p>
    <w:p>
      <w:pPr>
        <w:spacing w:line="360" w:lineRule="auto"/>
        <w:ind w:left="240" w:leftChars="100" w:firstLine="238" w:firstLineChars="85"/>
        <w:rPr>
          <w:rFonts w:eastAsia="宋体"/>
          <w:color w:val="auto"/>
          <w:sz w:val="28"/>
          <w:szCs w:val="28"/>
          <w:lang w:eastAsia="zh-CN"/>
        </w:rPr>
      </w:pPr>
      <w:r>
        <w:rPr>
          <w:rFonts w:hint="eastAsia" w:eastAsia="宋体"/>
          <w:color w:val="auto"/>
          <w:sz w:val="28"/>
          <w:szCs w:val="28"/>
          <w:lang w:eastAsia="zh-CN"/>
        </w:rPr>
        <w:t>5、产品制造商要求（提供加盖制造商鲜章的证明文件）</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（1）投标人所投品牌的制造商须获得ISO9001质量管理体系认。</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（2）投标人所投品牌的产品须获得正规渠道品牌一级OEM授权书。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（3）投标人所投的柴油机、发电机、控制系统须获得正规渠道品牌厂家针对此项目的项目授权书。</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（三）电缆技术要求</w:t>
      </w:r>
    </w:p>
    <w:p>
      <w:pPr>
        <w:spacing w:line="360" w:lineRule="auto"/>
        <w:ind w:firstLine="840" w:firstLineChars="300"/>
        <w:rPr>
          <w:rFonts w:eastAsia="宋体"/>
          <w:color w:val="auto"/>
          <w:sz w:val="28"/>
          <w:szCs w:val="28"/>
          <w:lang w:eastAsia="zh-CN"/>
        </w:rPr>
      </w:pPr>
      <w:r>
        <w:rPr>
          <w:rFonts w:eastAsia="宋体"/>
          <w:color w:val="auto"/>
          <w:sz w:val="28"/>
          <w:szCs w:val="28"/>
          <w:lang w:eastAsia="zh-CN"/>
        </w:rPr>
        <w:t>1、</w:t>
      </w:r>
      <w:r>
        <w:rPr>
          <w:rFonts w:hint="eastAsia" w:eastAsia="宋体"/>
          <w:color w:val="auto"/>
          <w:sz w:val="28"/>
          <w:szCs w:val="28"/>
          <w:lang w:eastAsia="zh-CN"/>
        </w:rPr>
        <w:t>产品所涉及的产品以及验收标准、规范等必须完全满足所有中华人民共和国的条例及规范，包括但不限于</w:t>
      </w:r>
      <w:r>
        <w:rPr>
          <w:rFonts w:eastAsia="宋体"/>
          <w:color w:val="auto"/>
          <w:sz w:val="28"/>
          <w:szCs w:val="28"/>
          <w:lang w:eastAsia="zh-CN"/>
        </w:rPr>
        <w:t>以下范围</w:t>
      </w:r>
      <w:r>
        <w:rPr>
          <w:rFonts w:hint="eastAsia"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《电力工程电缆设计规范》</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《额定电压450/750V及以下聚氯乙烯绝缘电缆》</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《额定电压0.6/1kV及以下铜芯塑料绝缘耐火电力电缆》</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《电线电缆电性能试验方法》</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《电线电缆机械物理性能试验方法》</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《电缆附件试验方法》</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《电线电缆交货盘》</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《电线电缆识别标志》</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《电线电缆燃烧试验方法》</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《电缆外护层》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《电线电缆机械物理性能试验方法》</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《电缆的导体》</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《额定电压1kV和3kV的挤出绝缘电力电缆及附件》</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2、</w:t>
      </w:r>
      <w:r>
        <w:rPr>
          <w:rFonts w:hint="eastAsia" w:eastAsia="宋体"/>
          <w:color w:val="auto"/>
          <w:sz w:val="28"/>
          <w:szCs w:val="28"/>
          <w:lang w:eastAsia="zh-CN"/>
        </w:rPr>
        <w:t>使用环境相关要求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海拔高度：＜1000米</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最高温度：+55 ºC</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最低温度：-25ºC</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适用于以下温度运输和储存：-25ºC～+55ºC</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敷设方式：电缆沟敷设、直埋敷设、电缆桥架、电缆托架、钢管内敷设、架空敷设。</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3、</w:t>
      </w:r>
      <w:r>
        <w:rPr>
          <w:rFonts w:hint="eastAsia" w:eastAsia="宋体"/>
          <w:color w:val="auto"/>
          <w:sz w:val="28"/>
          <w:szCs w:val="28"/>
          <w:lang w:eastAsia="zh-CN"/>
        </w:rPr>
        <w:t>本次招标工程招标电缆表按照设计图纸进行规划</w:t>
      </w:r>
      <w:r>
        <w:rPr>
          <w:rFonts w:eastAsia="宋体"/>
          <w:color w:val="auto"/>
          <w:sz w:val="28"/>
          <w:szCs w:val="28"/>
          <w:lang w:eastAsia="zh-CN"/>
        </w:rPr>
        <w:t>，投标</w:t>
      </w:r>
      <w:r>
        <w:rPr>
          <w:rFonts w:hint="eastAsia" w:eastAsia="宋体"/>
          <w:color w:val="auto"/>
          <w:sz w:val="28"/>
          <w:szCs w:val="28"/>
          <w:lang w:eastAsia="zh-CN"/>
        </w:rPr>
        <w:t>电缆数量以</w:t>
      </w:r>
      <w:r>
        <w:rPr>
          <w:rFonts w:eastAsia="宋体"/>
          <w:color w:val="auto"/>
          <w:sz w:val="28"/>
          <w:szCs w:val="28"/>
          <w:lang w:eastAsia="zh-CN"/>
        </w:rPr>
        <w:t>投标方自行</w:t>
      </w:r>
      <w:r>
        <w:rPr>
          <w:rFonts w:hint="eastAsia" w:eastAsia="宋体"/>
          <w:color w:val="auto"/>
          <w:sz w:val="28"/>
          <w:szCs w:val="28"/>
          <w:lang w:eastAsia="zh-CN"/>
        </w:rPr>
        <w:t>现场实际勘查数量为准，</w:t>
      </w:r>
      <w:r>
        <w:rPr>
          <w:rFonts w:eastAsia="宋体"/>
          <w:color w:val="auto"/>
          <w:sz w:val="28"/>
          <w:szCs w:val="28"/>
          <w:lang w:eastAsia="zh-CN"/>
        </w:rPr>
        <w:t>中标后实施过程产生的数量增加，甲方不再另计费用。</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4、</w:t>
      </w:r>
      <w:r>
        <w:rPr>
          <w:rFonts w:hint="eastAsia" w:eastAsia="宋体"/>
          <w:color w:val="auto"/>
          <w:sz w:val="28"/>
          <w:szCs w:val="28"/>
          <w:lang w:eastAsia="zh-CN"/>
        </w:rPr>
        <w:t>室外干敷设，电缆与各种设施的最小净距，不应小于下表所列数值（单位：米）</w:t>
      </w:r>
    </w:p>
    <w:tbl>
      <w:tblPr>
        <w:tblStyle w:val="10"/>
        <w:tblW w:w="8080" w:type="dxa"/>
        <w:tblInd w:w="0" w:type="dxa"/>
        <w:tblLayout w:type="autofit"/>
        <w:tblCellMar>
          <w:top w:w="0" w:type="dxa"/>
          <w:left w:w="0" w:type="dxa"/>
          <w:bottom w:w="0" w:type="dxa"/>
          <w:right w:w="0" w:type="dxa"/>
        </w:tblCellMar>
      </w:tblPr>
      <w:tblGrid>
        <w:gridCol w:w="6200"/>
        <w:gridCol w:w="940"/>
        <w:gridCol w:w="940"/>
      </w:tblGrid>
      <w:tr>
        <w:tblPrEx>
          <w:tblCellMar>
            <w:top w:w="0" w:type="dxa"/>
            <w:left w:w="0" w:type="dxa"/>
            <w:bottom w:w="0" w:type="dxa"/>
            <w:right w:w="0" w:type="dxa"/>
          </w:tblCellMar>
        </w:tblPrEx>
        <w:trPr>
          <w:trHeight w:val="285" w:hRule="atLeast"/>
        </w:trPr>
        <w:tc>
          <w:tcPr>
            <w:tcW w:w="620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设施名称</w:t>
            </w:r>
          </w:p>
        </w:tc>
        <w:tc>
          <w:tcPr>
            <w:tcW w:w="94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ind w:firstLine="220" w:firstLineChars="100"/>
              <w:textAlignment w:val="center"/>
              <w:rPr>
                <w:rFonts w:ascii="等线" w:eastAsia="等线" w:cs="等线"/>
                <w:color w:val="auto"/>
                <w:sz w:val="22"/>
                <w:szCs w:val="22"/>
              </w:rPr>
            </w:pPr>
            <w:r>
              <w:rPr>
                <w:rFonts w:hint="eastAsia" w:ascii="等线" w:eastAsia="等线" w:cs="等线"/>
                <w:color w:val="auto"/>
                <w:sz w:val="22"/>
                <w:szCs w:val="22"/>
                <w:lang w:eastAsia="zh-CN"/>
              </w:rPr>
              <w:t>平行</w:t>
            </w:r>
          </w:p>
        </w:tc>
        <w:tc>
          <w:tcPr>
            <w:tcW w:w="940" w:type="dxa"/>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ind w:firstLine="220" w:firstLineChars="100"/>
              <w:textAlignment w:val="center"/>
              <w:rPr>
                <w:rFonts w:ascii="等线" w:eastAsia="等线" w:cs="等线"/>
                <w:color w:val="auto"/>
                <w:sz w:val="22"/>
                <w:szCs w:val="22"/>
              </w:rPr>
            </w:pPr>
            <w:r>
              <w:rPr>
                <w:rFonts w:hint="eastAsia" w:ascii="等线" w:eastAsia="等线" w:cs="等线"/>
                <w:color w:val="auto"/>
                <w:sz w:val="22"/>
                <w:szCs w:val="22"/>
                <w:lang w:eastAsia="zh-CN"/>
              </w:rPr>
              <w:t>交叉</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基础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0.5</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电杆</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0.60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&lt;10KV电力电缆间以及与控制电缆间</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0.10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电力电缆或控制电缆与&gt;10KV电力电缆之间</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0.25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通讯电缆</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热力管道（有绝热层）</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0.50</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水管,压缩空气管</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1.00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可燃气体及易燃,可燃液体管道</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1.00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平道路(行时与路边,交叉时与路面)</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1.50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1.00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lang w:eastAsia="zh-CN"/>
              </w:rPr>
            </w:pPr>
            <w:r>
              <w:rPr>
                <w:rFonts w:hint="eastAsia" w:ascii="等线" w:eastAsia="等线" w:cs="等线"/>
                <w:color w:val="auto"/>
                <w:sz w:val="22"/>
                <w:szCs w:val="22"/>
                <w:lang w:eastAsia="zh-CN"/>
              </w:rPr>
              <w:t>电缆引入建筑物时穿保护管应超出建筑物散水坡距离</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0.10 </w:t>
            </w:r>
          </w:p>
        </w:tc>
      </w:tr>
      <w:tr>
        <w:tblPrEx>
          <w:tblCellMar>
            <w:top w:w="0" w:type="dxa"/>
            <w:left w:w="0" w:type="dxa"/>
            <w:bottom w:w="0" w:type="dxa"/>
            <w:right w:w="0" w:type="dxa"/>
          </w:tblCellMar>
        </w:tblPrEx>
        <w:trPr>
          <w:trHeight w:val="285" w:hRule="atLeast"/>
        </w:trPr>
        <w:tc>
          <w:tcPr>
            <w:tcW w:w="6200" w:type="dxa"/>
            <w:tcBorders>
              <w:top w:val="nil"/>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textAlignment w:val="center"/>
              <w:rPr>
                <w:rFonts w:ascii="等线" w:eastAsia="等线" w:cs="等线"/>
                <w:color w:val="auto"/>
                <w:sz w:val="22"/>
                <w:szCs w:val="22"/>
              </w:rPr>
            </w:pPr>
            <w:r>
              <w:rPr>
                <w:rFonts w:hint="eastAsia" w:ascii="等线" w:eastAsia="等线" w:cs="等线"/>
                <w:color w:val="auto"/>
                <w:sz w:val="22"/>
                <w:szCs w:val="22"/>
                <w:lang w:eastAsia="zh-CN"/>
              </w:rPr>
              <w:t>排水沟</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1.00 </w:t>
            </w:r>
          </w:p>
        </w:tc>
        <w:tc>
          <w:tcPr>
            <w:tcW w:w="940"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line="360" w:lineRule="auto"/>
              <w:jc w:val="center"/>
              <w:textAlignment w:val="center"/>
              <w:rPr>
                <w:rFonts w:ascii="等线" w:eastAsia="等线" w:cs="等线"/>
                <w:color w:val="auto"/>
                <w:sz w:val="22"/>
                <w:szCs w:val="22"/>
              </w:rPr>
            </w:pPr>
            <w:r>
              <w:rPr>
                <w:rFonts w:hint="eastAsia" w:ascii="等线" w:eastAsia="等线" w:cs="等线"/>
                <w:color w:val="auto"/>
                <w:sz w:val="22"/>
                <w:szCs w:val="22"/>
                <w:lang w:eastAsia="zh-CN"/>
              </w:rPr>
              <w:t xml:space="preserve">0.50 </w:t>
            </w:r>
          </w:p>
        </w:tc>
      </w:tr>
    </w:tbl>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5</w:t>
      </w:r>
      <w:r>
        <w:rPr>
          <w:rFonts w:eastAsia="宋体"/>
          <w:color w:val="auto"/>
          <w:sz w:val="28"/>
          <w:szCs w:val="28"/>
          <w:lang w:eastAsia="zh-CN"/>
        </w:rPr>
        <w:t>、</w:t>
      </w:r>
      <w:r>
        <w:rPr>
          <w:rFonts w:hint="eastAsia" w:eastAsia="宋体"/>
          <w:color w:val="auto"/>
          <w:sz w:val="28"/>
          <w:szCs w:val="28"/>
          <w:lang w:eastAsia="zh-CN"/>
        </w:rPr>
        <w:t>电缆到场要求</w:t>
      </w:r>
    </w:p>
    <w:p>
      <w:pPr>
        <w:pStyle w:val="14"/>
        <w:spacing w:line="360" w:lineRule="auto"/>
        <w:ind w:firstLine="580"/>
        <w:jc w:val="both"/>
        <w:rPr>
          <w:rFonts w:ascii="Times New Roman" w:cs="Times New Roman"/>
          <w:color w:val="auto"/>
          <w:sz w:val="28"/>
          <w:szCs w:val="28"/>
          <w:lang w:val="en-US" w:eastAsia="zh-CN" w:bidi="en-US"/>
        </w:rPr>
      </w:pPr>
      <w:r>
        <w:rPr>
          <w:rFonts w:hint="eastAsia" w:ascii="Times New Roman" w:cs="Times New Roman"/>
          <w:color w:val="auto"/>
          <w:sz w:val="28"/>
          <w:szCs w:val="28"/>
          <w:lang w:val="en-US" w:eastAsia="zh-CN" w:bidi="en-US"/>
        </w:rPr>
        <w:t>（1）投标方供应的电缆应是全新的、技术先进的并且成熟可靠的电缆、电缆到场后需进行到货检验及相关电气试验（外观检查和见证取样送质检中心检验，每批次到场的不同规格型号的电缆需进行送检，有关检测产生的费用亦包含在总价（单价）不再单独计算）。</w:t>
      </w:r>
    </w:p>
    <w:p>
      <w:pPr>
        <w:pStyle w:val="14"/>
        <w:spacing w:line="360" w:lineRule="auto"/>
        <w:ind w:firstLine="580"/>
        <w:jc w:val="both"/>
        <w:rPr>
          <w:rFonts w:ascii="Times New Roman" w:cs="Times New Roman"/>
          <w:color w:val="auto"/>
          <w:sz w:val="28"/>
          <w:szCs w:val="28"/>
          <w:lang w:val="en-US" w:eastAsia="zh-CN" w:bidi="en-US"/>
        </w:rPr>
      </w:pPr>
      <w:r>
        <w:rPr>
          <w:rFonts w:hint="eastAsia" w:ascii="Times New Roman" w:cs="Times New Roman"/>
          <w:color w:val="auto"/>
          <w:sz w:val="28"/>
          <w:szCs w:val="28"/>
          <w:lang w:val="en-US" w:eastAsia="zh-CN" w:bidi="en-US"/>
        </w:rPr>
        <w:t>（2）在导体允许的运行温度下，电缆应具有30年的设计寿命。</w:t>
      </w:r>
    </w:p>
    <w:p>
      <w:pPr>
        <w:pStyle w:val="14"/>
        <w:spacing w:line="360" w:lineRule="auto"/>
        <w:ind w:firstLine="580"/>
        <w:jc w:val="both"/>
        <w:rPr>
          <w:rFonts w:ascii="Times New Roman" w:cs="Times New Roman"/>
          <w:color w:val="auto"/>
          <w:sz w:val="28"/>
          <w:szCs w:val="28"/>
          <w:lang w:val="en-US" w:eastAsia="zh-CN" w:bidi="en-US"/>
        </w:rPr>
      </w:pPr>
      <w:r>
        <w:rPr>
          <w:rFonts w:hint="eastAsia" w:ascii="Times New Roman" w:cs="Times New Roman"/>
          <w:color w:val="auto"/>
          <w:sz w:val="28"/>
          <w:szCs w:val="28"/>
          <w:lang w:val="en-US" w:eastAsia="zh-CN" w:bidi="en-US"/>
        </w:rPr>
        <w:t>（3）所有的电缆必须满足本规范的性能要求。并能承受正常使用时的弯曲和机械应力。</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 xml:space="preserve">（4）电缆应妥善包装在符合JB/T8137－1999 规定要求的电缆盘，所有电缆末端应可靠封堵、密封，并用适当的方法牢固地固定在电缆盘上。 </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 xml:space="preserve">（5）包装标签应包括制造厂名及商标、盘号、电缆型号、规格、长度、毛重、厂名、正确旋转方向、标准编号、制造日期和买方名称等。 </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6</w:t>
      </w:r>
      <w:r>
        <w:rPr>
          <w:rFonts w:eastAsia="宋体"/>
          <w:color w:val="auto"/>
          <w:sz w:val="28"/>
          <w:szCs w:val="28"/>
          <w:lang w:eastAsia="zh-CN"/>
        </w:rPr>
        <w:t>、</w:t>
      </w:r>
      <w:r>
        <w:rPr>
          <w:rFonts w:hint="eastAsia" w:eastAsia="宋体"/>
          <w:color w:val="auto"/>
          <w:sz w:val="28"/>
          <w:szCs w:val="28"/>
          <w:lang w:eastAsia="zh-CN"/>
        </w:rPr>
        <w:t>运输及储存要求</w:t>
      </w:r>
    </w:p>
    <w:p>
      <w:pPr>
        <w:spacing w:line="360" w:lineRule="auto"/>
        <w:ind w:firstLine="478" w:firstLineChars="171"/>
        <w:rPr>
          <w:rFonts w:eastAsia="宋体"/>
          <w:color w:val="auto"/>
          <w:sz w:val="28"/>
          <w:szCs w:val="28"/>
          <w:lang w:eastAsia="zh-CN"/>
        </w:rPr>
      </w:pPr>
      <w:r>
        <w:rPr>
          <w:rFonts w:hint="eastAsia" w:eastAsia="宋体"/>
          <w:color w:val="auto"/>
          <w:sz w:val="28"/>
          <w:szCs w:val="28"/>
          <w:lang w:eastAsia="zh-CN"/>
        </w:rPr>
        <w:t>（1）电缆、柴油发电机须加以保护以免遭受在运输过程中可能的机械损伤。存放、存储、安装需考虑通风且无有害气体侵蚀的场所，保证设施设备不受气候及外部条件影响。所有设施设备元器件在使用前应予有效密封，以防止潮气侵入。</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（2）材料进场后，卸货、二次搬运、仓库存储费用亦包含在总价（单价）不再单独计算。</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（3）设施设备发货前，应当对货物进行合理包装，该包装应当能够满足远途运输、防震、防潮、防锈和防装卸破损等方面的要求，保证货物被安全送达至招标方方指定收货地点。</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7</w:t>
      </w:r>
      <w:r>
        <w:rPr>
          <w:rFonts w:eastAsia="宋体"/>
          <w:color w:val="auto"/>
          <w:sz w:val="28"/>
          <w:szCs w:val="28"/>
          <w:lang w:eastAsia="zh-CN"/>
        </w:rPr>
        <w:t>、</w:t>
      </w:r>
      <w:r>
        <w:rPr>
          <w:rFonts w:hint="eastAsia" w:eastAsia="宋体"/>
          <w:color w:val="auto"/>
          <w:sz w:val="28"/>
          <w:szCs w:val="28"/>
          <w:lang w:eastAsia="zh-CN"/>
        </w:rPr>
        <w:t>防火封堵措施。</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（1）烟道、电缆穿过墙壁、楼板或进入配电箱、柜的孔洞处及电缆管开口处，采用防火堵料密实封堵。</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（2）跨越防火分区以及楼层的电线导管两端开口处，采用防火封堵措施。</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8</w:t>
      </w:r>
      <w:r>
        <w:rPr>
          <w:rFonts w:eastAsia="宋体"/>
          <w:color w:val="auto"/>
          <w:sz w:val="28"/>
          <w:szCs w:val="28"/>
          <w:lang w:eastAsia="zh-CN"/>
        </w:rPr>
        <w:t>、</w:t>
      </w:r>
      <w:r>
        <w:rPr>
          <w:rFonts w:hint="eastAsia" w:eastAsia="宋体"/>
          <w:color w:val="auto"/>
          <w:sz w:val="28"/>
          <w:szCs w:val="28"/>
          <w:lang w:eastAsia="zh-CN"/>
        </w:rPr>
        <w:t>电缆桥架、托盘或槽盒安装技术要求。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w:t>
      </w:r>
      <w:r>
        <w:rPr>
          <w:rFonts w:eastAsia="宋体"/>
          <w:color w:val="auto"/>
          <w:sz w:val="28"/>
          <w:szCs w:val="28"/>
          <w:lang w:eastAsia="zh-CN"/>
        </w:rPr>
        <w:t>主电缆均为整根敷设，中途不得出现接头。</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w:t>
      </w:r>
      <w:r>
        <w:rPr>
          <w:rFonts w:eastAsia="宋体"/>
          <w:color w:val="auto"/>
          <w:sz w:val="28"/>
          <w:szCs w:val="28"/>
          <w:lang w:eastAsia="zh-CN"/>
        </w:rPr>
        <w:t>电缆</w:t>
      </w:r>
      <w:r>
        <w:rPr>
          <w:rFonts w:hint="eastAsia" w:eastAsia="宋体"/>
          <w:color w:val="auto"/>
          <w:sz w:val="28"/>
          <w:szCs w:val="28"/>
          <w:lang w:eastAsia="zh-CN"/>
        </w:rPr>
        <w:t>桥架</w:t>
      </w:r>
      <w:r>
        <w:rPr>
          <w:rFonts w:eastAsia="宋体"/>
          <w:color w:val="auto"/>
          <w:sz w:val="28"/>
          <w:szCs w:val="28"/>
          <w:lang w:eastAsia="zh-CN"/>
        </w:rPr>
        <w:t>、托盘或槽盒直线长度大于30m时，设置伸缩节。</w:t>
      </w:r>
    </w:p>
    <w:p>
      <w:pPr>
        <w:spacing w:line="360" w:lineRule="auto"/>
        <w:rPr>
          <w:rFonts w:eastAsia="宋体"/>
          <w:color w:val="auto"/>
          <w:sz w:val="28"/>
          <w:szCs w:val="28"/>
          <w:lang w:eastAsia="zh-CN"/>
        </w:rPr>
      </w:pPr>
      <w:r>
        <w:rPr>
          <w:rFonts w:eastAsia="宋体"/>
          <w:color w:val="auto"/>
          <w:sz w:val="28"/>
          <w:szCs w:val="28"/>
          <w:lang w:eastAsia="zh-CN"/>
        </w:rPr>
        <w:t>跨越建筑物变形缝时，设置补偿装置。</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w:t>
      </w:r>
      <w:r>
        <w:rPr>
          <w:rFonts w:eastAsia="宋体"/>
          <w:color w:val="auto"/>
          <w:sz w:val="28"/>
          <w:szCs w:val="28"/>
          <w:lang w:eastAsia="zh-CN"/>
        </w:rPr>
        <w:t>电缆</w:t>
      </w:r>
      <w:r>
        <w:rPr>
          <w:rFonts w:hint="eastAsia" w:eastAsia="宋体"/>
          <w:color w:val="auto"/>
          <w:sz w:val="28"/>
          <w:szCs w:val="28"/>
          <w:lang w:eastAsia="zh-CN"/>
        </w:rPr>
        <w:t>桥</w:t>
      </w:r>
      <w:r>
        <w:rPr>
          <w:rFonts w:eastAsia="宋体"/>
          <w:color w:val="auto"/>
          <w:sz w:val="28"/>
          <w:szCs w:val="28"/>
          <w:lang w:eastAsia="zh-CN"/>
        </w:rPr>
        <w:t>架、托盘或槽盒水平安装时，支架间距不大于1.5m；垂直安装时，支架间距不大于2m；首端、终端、进出接线盒、转角处，0.5m内设置支架。</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w:t>
      </w:r>
      <w:r>
        <w:rPr>
          <w:rFonts w:eastAsia="宋体"/>
          <w:color w:val="auto"/>
          <w:sz w:val="28"/>
          <w:szCs w:val="28"/>
          <w:lang w:eastAsia="zh-CN"/>
        </w:rPr>
        <w:t>招标图中电缆</w:t>
      </w:r>
      <w:r>
        <w:rPr>
          <w:rFonts w:hint="eastAsia" w:eastAsia="宋体"/>
          <w:color w:val="auto"/>
          <w:sz w:val="28"/>
          <w:szCs w:val="28"/>
          <w:lang w:eastAsia="zh-CN"/>
        </w:rPr>
        <w:t>桥架</w:t>
      </w:r>
      <w:r>
        <w:rPr>
          <w:rFonts w:eastAsia="宋体"/>
          <w:color w:val="auto"/>
          <w:sz w:val="28"/>
          <w:szCs w:val="28"/>
          <w:lang w:eastAsia="zh-CN"/>
        </w:rPr>
        <w:t>、托盘或槽盒所注安装高度为最低高度，要满足安装电缆所需空间，在吊顶内安装时，底距吊顶应大于50mm。</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（5）</w:t>
      </w:r>
      <w:r>
        <w:rPr>
          <w:rFonts w:eastAsia="宋体"/>
          <w:color w:val="auto"/>
          <w:sz w:val="28"/>
          <w:szCs w:val="28"/>
          <w:lang w:eastAsia="zh-CN"/>
        </w:rPr>
        <w:t>所有穿过建筑物伸缩缝、沉降缝、后浇带的管线应按《建筑电气安装工程图集》中有关作法施工。</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（6）</w:t>
      </w:r>
      <w:r>
        <w:rPr>
          <w:rFonts w:eastAsia="宋体"/>
          <w:color w:val="auto"/>
          <w:sz w:val="28"/>
          <w:szCs w:val="28"/>
          <w:lang w:eastAsia="zh-CN"/>
        </w:rPr>
        <w:t>有耐火要求的线路，矿物绝缘电缆连接附件的耐火等级不应低于电缆本体的耐火等级。</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（7）</w:t>
      </w:r>
      <w:r>
        <w:rPr>
          <w:rFonts w:eastAsia="宋体"/>
          <w:color w:val="auto"/>
          <w:sz w:val="28"/>
          <w:szCs w:val="28"/>
          <w:lang w:eastAsia="zh-CN"/>
        </w:rPr>
        <w:t>矿物绝缘电缆交流系统单芯电缆应采取下列防涡流措施：电缆应分回路进出钢制配电箱（柜）、桥架，电缆应采用金属件固定或金属线绑扎，且不得形成闭合铁磁回路，当电缆穿过钢管（钢套管）或钢筋混凝土楼板、墙体的预留洞时，电缆应分回路敷设；</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（8）</w:t>
      </w:r>
      <w:r>
        <w:rPr>
          <w:rFonts w:eastAsia="宋体"/>
          <w:color w:val="auto"/>
          <w:sz w:val="28"/>
          <w:szCs w:val="28"/>
          <w:lang w:eastAsia="zh-CN"/>
        </w:rPr>
        <w:t>矿物绝缘电缆首末端、分支处应设标志牌。</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（9）</w:t>
      </w:r>
      <w:r>
        <w:rPr>
          <w:rFonts w:eastAsia="宋体"/>
          <w:color w:val="auto"/>
          <w:sz w:val="28"/>
          <w:szCs w:val="28"/>
          <w:lang w:eastAsia="zh-CN"/>
        </w:rPr>
        <w:t>当矿物绝缘电缆穿越不同防火分区时，其洞口应采用不燃材料进行封堵。</w:t>
      </w:r>
    </w:p>
    <w:p>
      <w:pPr>
        <w:spacing w:line="360" w:lineRule="auto"/>
        <w:ind w:left="560"/>
        <w:rPr>
          <w:rFonts w:eastAsia="宋体"/>
          <w:color w:val="auto"/>
          <w:sz w:val="28"/>
          <w:szCs w:val="28"/>
          <w:lang w:eastAsia="zh-CN"/>
        </w:rPr>
      </w:pPr>
      <w:r>
        <w:rPr>
          <w:rFonts w:hint="eastAsia" w:eastAsia="宋体"/>
          <w:color w:val="auto"/>
          <w:sz w:val="28"/>
          <w:szCs w:val="28"/>
          <w:lang w:eastAsia="zh-CN"/>
        </w:rPr>
        <w:t>9</w:t>
      </w:r>
      <w:r>
        <w:rPr>
          <w:rFonts w:eastAsia="宋体"/>
          <w:color w:val="auto"/>
          <w:sz w:val="28"/>
          <w:szCs w:val="28"/>
          <w:lang w:eastAsia="zh-CN"/>
        </w:rPr>
        <w:t>、</w:t>
      </w:r>
      <w:r>
        <w:rPr>
          <w:rFonts w:hint="eastAsia" w:eastAsia="宋体"/>
          <w:color w:val="auto"/>
          <w:sz w:val="28"/>
          <w:szCs w:val="28"/>
          <w:lang w:eastAsia="zh-CN"/>
        </w:rPr>
        <w:t>其他施工技术要求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w:t>
      </w:r>
      <w:r>
        <w:rPr>
          <w:rFonts w:eastAsia="宋体"/>
          <w:color w:val="auto"/>
          <w:sz w:val="28"/>
          <w:szCs w:val="28"/>
          <w:lang w:eastAsia="zh-CN"/>
        </w:rPr>
        <w:t>凡与施工有关而又未说明之处，参见《建筑电气安装工程图集》，《建筑电气通用图集》及国家相关规范施工，或与</w:t>
      </w:r>
      <w:r>
        <w:rPr>
          <w:rFonts w:hint="eastAsia" w:eastAsia="宋体"/>
          <w:color w:val="auto"/>
          <w:sz w:val="28"/>
          <w:szCs w:val="28"/>
          <w:lang w:eastAsia="zh-CN"/>
        </w:rPr>
        <w:t>招标方</w:t>
      </w:r>
      <w:r>
        <w:rPr>
          <w:rFonts w:eastAsia="宋体"/>
          <w:color w:val="auto"/>
          <w:sz w:val="28"/>
          <w:szCs w:val="28"/>
          <w:lang w:eastAsia="zh-CN"/>
        </w:rPr>
        <w:t>协商解决。</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w:t>
      </w:r>
      <w:r>
        <w:rPr>
          <w:rFonts w:eastAsia="宋体"/>
          <w:color w:val="auto"/>
          <w:sz w:val="28"/>
          <w:szCs w:val="28"/>
          <w:lang w:eastAsia="zh-CN"/>
        </w:rPr>
        <w:t>所有电缆及设备进场后均需建设、施工、供应商、监理四方进行到货检验</w:t>
      </w:r>
      <w:r>
        <w:rPr>
          <w:rFonts w:hint="eastAsia" w:eastAsia="宋体"/>
          <w:color w:val="auto"/>
          <w:sz w:val="28"/>
          <w:szCs w:val="28"/>
          <w:lang w:eastAsia="zh-CN"/>
        </w:rPr>
        <w:t>、见证取样送检、电缆检测主要有绝缘电阻、接地电阻、耐火等级、电导率等参数应符合国家相关标准</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（3）投标方在电缆到场后，需通知业主进行到货检验各批次质量及数量，并编制材料报审表，包括进场时间、批次、数量及附上本批次的电缆合格证、质量证明书相关附件。</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（4）在设备材料具备</w:t>
      </w:r>
      <w:r>
        <w:rPr>
          <w:rFonts w:eastAsia="宋体"/>
          <w:color w:val="auto"/>
          <w:sz w:val="28"/>
          <w:szCs w:val="28"/>
          <w:lang w:eastAsia="zh-CN"/>
        </w:rPr>
        <w:t>隐蔽条件时，施工单位进行自检，并在隐蔽前48h以书面形式通知建设单位（监理单位）或工程质量监督、检验单位进行验收。通知内容包括：隐蔽验收的内容、隐蔽方式、 验收时间和地点</w:t>
      </w:r>
      <w:r>
        <w:rPr>
          <w:rFonts w:hint="eastAsia" w:eastAsia="宋体"/>
          <w:color w:val="auto"/>
          <w:sz w:val="28"/>
          <w:szCs w:val="28"/>
          <w:lang w:eastAsia="zh-CN"/>
        </w:rPr>
        <w:t>、本批次隐蔽验收电缆数量</w:t>
      </w:r>
      <w:r>
        <w:rPr>
          <w:rFonts w:eastAsia="宋体"/>
          <w:color w:val="auto"/>
          <w:sz w:val="28"/>
          <w:szCs w:val="28"/>
          <w:lang w:eastAsia="zh-CN"/>
        </w:rPr>
        <w:t>等</w:t>
      </w:r>
      <w:r>
        <w:rPr>
          <w:rFonts w:hint="eastAsia" w:eastAsia="宋体"/>
          <w:color w:val="auto"/>
          <w:sz w:val="28"/>
          <w:szCs w:val="28"/>
          <w:lang w:eastAsia="zh-CN"/>
        </w:rPr>
        <w:t>，收方依据为隐蔽验收文件及材料报审表。</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（四）成套开关柜、进线柜技术要求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w:t>
      </w:r>
      <w:r>
        <w:rPr>
          <w:rFonts w:eastAsia="宋体"/>
          <w:color w:val="auto"/>
          <w:sz w:val="28"/>
          <w:szCs w:val="28"/>
          <w:lang w:eastAsia="zh-CN"/>
        </w:rPr>
        <w:t>本次技术性能参照引用的国家规范和标准，包括但不限于以下范围：</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GB50254-1996《电气装置安装工程低压电器施工及验收规范》</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GB2682-1981 《电工成套装置中指示灯和按钮颜色》</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GB2681-1981 《电工成套装置中导线颜色》</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IEC439-1    《成套低压开关设备和控制设备》</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GB7251-1987 《低压成套开关设备》</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GB9466.1-1997 《低压成套开关设备基本试验方法》</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GB50303-2002 《建筑电气工程质量验收规范》</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GB50150-2002 《电气装置安装工程电气设备交接试验标准》</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GB50171-2002 《电气装置安装工程盘、柜及二次回路结线施工及验收规范》</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IEC364       《建筑物电气装置》</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IEC439-3     《对非专业人员使用的低压开关设备和控制设备》</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NEMAIC2-322 《通用交流电动机控制中心》</w:t>
      </w:r>
    </w:p>
    <w:p>
      <w:pPr>
        <w:spacing w:line="360" w:lineRule="auto"/>
        <w:ind w:firstLine="560" w:firstLineChars="200"/>
        <w:rPr>
          <w:rFonts w:eastAsia="宋体"/>
          <w:color w:val="auto"/>
          <w:sz w:val="28"/>
          <w:szCs w:val="28"/>
          <w:lang w:eastAsia="zh-CN"/>
        </w:rPr>
      </w:pPr>
      <w:r>
        <w:rPr>
          <w:rFonts w:eastAsia="宋体"/>
          <w:color w:val="auto"/>
          <w:sz w:val="28"/>
          <w:szCs w:val="28"/>
          <w:lang w:eastAsia="zh-CN"/>
        </w:rPr>
        <w:t>JB2436-1992  《电力传输控制装置用铜制裸压接端头》</w:t>
      </w:r>
    </w:p>
    <w:p>
      <w:pPr>
        <w:spacing w:line="360" w:lineRule="auto"/>
        <w:ind w:left="480" w:leftChars="200"/>
        <w:rPr>
          <w:rFonts w:eastAsia="宋体"/>
          <w:color w:val="auto"/>
          <w:sz w:val="28"/>
          <w:szCs w:val="28"/>
          <w:lang w:eastAsia="zh-CN"/>
        </w:rPr>
      </w:pPr>
      <w:r>
        <w:rPr>
          <w:rFonts w:eastAsia="宋体"/>
          <w:color w:val="auto"/>
          <w:sz w:val="28"/>
          <w:szCs w:val="28"/>
          <w:lang w:eastAsia="zh-CN"/>
        </w:rPr>
        <w:t>除以上，还应符合国家、质量验收规范及供电局的要求。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2、柜体尺寸、母排、</w:t>
      </w:r>
      <w:r>
        <w:rPr>
          <w:rFonts w:eastAsia="宋体"/>
          <w:color w:val="auto"/>
          <w:sz w:val="28"/>
          <w:szCs w:val="28"/>
          <w:lang w:eastAsia="zh-CN"/>
        </w:rPr>
        <w:t>开关/熔断器型号及额定电流</w:t>
      </w:r>
      <w:r>
        <w:rPr>
          <w:rFonts w:hint="eastAsia" w:eastAsia="宋体"/>
          <w:color w:val="auto"/>
          <w:sz w:val="28"/>
          <w:szCs w:val="28"/>
          <w:lang w:eastAsia="zh-CN"/>
        </w:rPr>
        <w:t>(A)、脱扣器/附件参数/脱扣器整定电流(A)、晶闸管投切模块、母线等仪器仪表附件可参考柴油低压柜系统图设计图纸、但不低于设计、使用及消防验收要求。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3、柜体技术要求</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w:t>
      </w:r>
      <w:r>
        <w:rPr>
          <w:rFonts w:eastAsia="宋体"/>
          <w:color w:val="auto"/>
          <w:sz w:val="28"/>
          <w:szCs w:val="28"/>
          <w:lang w:eastAsia="zh-CN"/>
        </w:rPr>
        <w:t>电力仪表量程与电流互感器变比相匹配(所有的网路电力仪表均带计量功能</w:t>
      </w:r>
      <w:r>
        <w:rPr>
          <w:rFonts w:hint="eastAsia" w:eastAsia="宋体"/>
          <w:color w:val="auto"/>
          <w:sz w:val="28"/>
          <w:szCs w:val="28"/>
          <w:lang w:eastAsia="zh-CN"/>
        </w:rPr>
        <w:t>，</w:t>
      </w:r>
      <w:r>
        <w:rPr>
          <w:rFonts w:eastAsia="宋体"/>
          <w:color w:val="auto"/>
          <w:sz w:val="28"/>
          <w:szCs w:val="28"/>
          <w:lang w:eastAsia="zh-CN"/>
        </w:rPr>
        <w:t>精度不低于1.0级)。</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（2）具体参考招标文件中总动力图纸，投标方需按照此方案配置符合消防验收的低压配电柜。</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w:t>
      </w:r>
      <w:r>
        <w:rPr>
          <w:rFonts w:eastAsia="宋体"/>
          <w:color w:val="auto"/>
          <w:sz w:val="28"/>
          <w:szCs w:val="28"/>
          <w:lang w:eastAsia="zh-CN"/>
        </w:rPr>
        <w:t>当消防回路的工作电流大于该回路报警电流时</w:t>
      </w:r>
      <w:r>
        <w:rPr>
          <w:rFonts w:hint="eastAsia" w:eastAsia="宋体"/>
          <w:color w:val="auto"/>
          <w:sz w:val="28"/>
          <w:szCs w:val="28"/>
          <w:lang w:eastAsia="zh-CN"/>
        </w:rPr>
        <w:t>，</w:t>
      </w:r>
      <w:r>
        <w:rPr>
          <w:rFonts w:eastAsia="宋体"/>
          <w:color w:val="auto"/>
          <w:sz w:val="28"/>
          <w:szCs w:val="28"/>
          <w:lang w:eastAsia="zh-CN"/>
        </w:rPr>
        <w:t>报警电流表延时10S发出声光报警同时将报警信号传至后台系统显示。</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w:t>
      </w:r>
      <w:r>
        <w:rPr>
          <w:rFonts w:eastAsia="宋体"/>
          <w:color w:val="auto"/>
          <w:sz w:val="28"/>
          <w:szCs w:val="28"/>
          <w:lang w:eastAsia="zh-CN"/>
        </w:rPr>
        <w:t>柴油发电机的低压开关柜供货厂商负责完成低压开关柜与柴油柴油发电机之间的封闭母线槽</w:t>
      </w:r>
      <w:r>
        <w:rPr>
          <w:rFonts w:hint="eastAsia" w:eastAsia="宋体"/>
          <w:color w:val="auto"/>
          <w:sz w:val="28"/>
          <w:szCs w:val="28"/>
          <w:lang w:eastAsia="zh-CN"/>
        </w:rPr>
        <w:t>采购</w:t>
      </w:r>
      <w:r>
        <w:rPr>
          <w:rFonts w:eastAsia="宋体"/>
          <w:color w:val="auto"/>
          <w:sz w:val="28"/>
          <w:szCs w:val="28"/>
          <w:lang w:eastAsia="zh-CN"/>
        </w:rPr>
        <w:t>、供货(包括连接和安装附件)</w:t>
      </w:r>
      <w:r>
        <w:rPr>
          <w:rFonts w:hint="eastAsia" w:eastAsia="宋体"/>
          <w:color w:val="auto"/>
          <w:sz w:val="28"/>
          <w:szCs w:val="28"/>
          <w:lang w:eastAsia="zh-CN"/>
        </w:rPr>
        <w:t>、安装，</w:t>
      </w:r>
      <w:r>
        <w:rPr>
          <w:rFonts w:eastAsia="宋体"/>
          <w:color w:val="auto"/>
          <w:sz w:val="28"/>
          <w:szCs w:val="28"/>
          <w:lang w:eastAsia="zh-CN"/>
        </w:rPr>
        <w:t>并根据安装的实际情况进行实测后完成制作</w:t>
      </w:r>
      <w:r>
        <w:rPr>
          <w:rFonts w:hint="eastAsia" w:eastAsia="宋体"/>
          <w:color w:val="auto"/>
          <w:sz w:val="28"/>
          <w:szCs w:val="28"/>
          <w:lang w:eastAsia="zh-CN"/>
        </w:rPr>
        <w:t>，</w:t>
      </w:r>
      <w:r>
        <w:rPr>
          <w:rFonts w:eastAsia="宋体"/>
          <w:color w:val="auto"/>
          <w:sz w:val="28"/>
          <w:szCs w:val="28"/>
          <w:lang w:eastAsia="zh-CN"/>
        </w:rPr>
        <w:t>确保其可靠连接。</w:t>
      </w:r>
      <w:r>
        <w:rPr>
          <w:rFonts w:hint="eastAsia" w:eastAsia="宋体"/>
          <w:color w:val="auto"/>
          <w:sz w:val="28"/>
          <w:szCs w:val="28"/>
          <w:lang w:eastAsia="zh-CN"/>
        </w:rPr>
        <w:t>此次招标包含柴油发电机房内的电缆沟开挖及降水且做好防水处理，室外无预留孔洞，需开孔至室外且开孔穿越墙体处安装保护套管。具体施工大样图参考招标图纸电缆沟剖面图，支架施工间距制作参考国标（不仅限于）12D101-5,62~63页。</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（6）柴油机房中</w:t>
      </w:r>
      <w:r>
        <w:rPr>
          <w:rFonts w:eastAsia="宋体"/>
          <w:color w:val="auto"/>
          <w:sz w:val="28"/>
          <w:szCs w:val="28"/>
          <w:lang w:eastAsia="zh-CN"/>
        </w:rPr>
        <w:t>消防桥架内敷设消防电缆</w:t>
      </w:r>
      <w:r>
        <w:rPr>
          <w:rFonts w:hint="eastAsia" w:eastAsia="宋体"/>
          <w:color w:val="auto"/>
          <w:sz w:val="28"/>
          <w:szCs w:val="28"/>
          <w:lang w:eastAsia="zh-CN"/>
        </w:rPr>
        <w:t>需与动力电缆分开</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（7）柴油机房内的电缆沟内为动力电缆，消防电缆需敷设在消防桥架内。</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（8）低压柜必须满足消防相关规范，安装完毕后若需经过供电部门、消防部门验收，验收产生的相关检测费用亦包含在本次报价内。</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9）投标单位需配合原消防单位，在低压柜安装消防报警模块，其模块必须与原消防系统相匹配，且其消防通信主线需引至消防控制室内同时保证模块由消防电源供电。低压开关柜需与消防报警系统联动，消防报警时，断开关柜内非消防负荷断路器，切换为消防电源；消防报警取消时，断开消防电源、切换为非消负荷，保证系统稳定性。</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（10）具有防止自备电源误入市政电网相关措施。</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（11）应急电源与正常电源之间，应采取防止并列运行的措施。</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4、接地及安全</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本工程低压系统采用TN-C-S接地保护系统地,要求接地电阻不大于1欧姆，实测不满足要求时，增设人工接地极。</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凡正常不带电而当绝缘破坏可能呈现电压的电气设备金属外壳均应可靠接地。</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（六）其他</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1、</w:t>
      </w:r>
      <w:r>
        <w:rPr>
          <w:rFonts w:eastAsia="宋体"/>
          <w:color w:val="auto"/>
          <w:sz w:val="28"/>
          <w:szCs w:val="28"/>
          <w:lang w:eastAsia="zh-CN"/>
        </w:rPr>
        <w:t>招标文件所附图纸</w:t>
      </w:r>
      <w:r>
        <w:rPr>
          <w:rFonts w:hint="eastAsia" w:eastAsia="宋体"/>
          <w:color w:val="auto"/>
          <w:sz w:val="28"/>
          <w:szCs w:val="28"/>
          <w:lang w:eastAsia="zh-CN"/>
        </w:rPr>
        <w:t>，包括“新增萝卜清洗设备施工图”、“东北泡菜生产基地低压配电系统图”</w:t>
      </w:r>
      <w:r>
        <w:rPr>
          <w:rFonts w:eastAsia="宋体"/>
          <w:color w:val="auto"/>
          <w:sz w:val="28"/>
          <w:szCs w:val="28"/>
          <w:lang w:eastAsia="zh-CN"/>
        </w:rPr>
        <w:t>，提供了本标段</w:t>
      </w:r>
      <w:r>
        <w:rPr>
          <w:rFonts w:hint="eastAsia" w:eastAsia="宋体"/>
          <w:color w:val="auto"/>
          <w:sz w:val="28"/>
          <w:szCs w:val="28"/>
          <w:lang w:eastAsia="zh-CN"/>
        </w:rPr>
        <w:t>柴发、线缆、低压柜、配电箱</w:t>
      </w:r>
      <w:r>
        <w:rPr>
          <w:rFonts w:eastAsia="宋体"/>
          <w:color w:val="auto"/>
          <w:sz w:val="28"/>
          <w:szCs w:val="28"/>
          <w:lang w:eastAsia="zh-CN"/>
        </w:rPr>
        <w:t>的</w:t>
      </w:r>
      <w:r>
        <w:rPr>
          <w:rFonts w:hint="eastAsia" w:eastAsia="宋体"/>
          <w:color w:val="auto"/>
          <w:sz w:val="28"/>
          <w:szCs w:val="28"/>
          <w:lang w:eastAsia="zh-CN"/>
        </w:rPr>
        <w:t>点位</w:t>
      </w:r>
      <w:r>
        <w:rPr>
          <w:rFonts w:eastAsia="宋体"/>
          <w:color w:val="auto"/>
          <w:sz w:val="28"/>
          <w:szCs w:val="28"/>
          <w:lang w:eastAsia="zh-CN"/>
        </w:rPr>
        <w:t>、</w:t>
      </w:r>
      <w:r>
        <w:rPr>
          <w:rFonts w:hint="eastAsia" w:eastAsia="宋体"/>
          <w:color w:val="auto"/>
          <w:sz w:val="28"/>
          <w:szCs w:val="28"/>
          <w:lang w:eastAsia="zh-CN"/>
        </w:rPr>
        <w:t>元器件型号</w:t>
      </w:r>
      <w:r>
        <w:rPr>
          <w:rFonts w:eastAsia="宋体"/>
          <w:color w:val="auto"/>
          <w:sz w:val="28"/>
          <w:szCs w:val="28"/>
          <w:lang w:eastAsia="zh-CN"/>
        </w:rPr>
        <w:t>和回路等，选型仅供投标人参考，投标人必须以</w:t>
      </w:r>
      <w:r>
        <w:rPr>
          <w:rFonts w:hint="eastAsia" w:eastAsia="宋体"/>
          <w:color w:val="auto"/>
          <w:sz w:val="28"/>
          <w:szCs w:val="28"/>
          <w:lang w:eastAsia="zh-CN"/>
        </w:rPr>
        <w:t>现场为实际情况进行</w:t>
      </w:r>
      <w:r>
        <w:rPr>
          <w:rFonts w:eastAsia="宋体"/>
          <w:color w:val="auto"/>
          <w:sz w:val="28"/>
          <w:szCs w:val="28"/>
          <w:lang w:eastAsia="zh-CN"/>
        </w:rPr>
        <w:t>投标报价。</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2、投标单位应仔细深化柴油发电机配电平面图纸，其桥架、电缆敷设位置应按规范避开原有工艺、动力、控制等管线，中标后图纸应交于原设计单位审核。若应未满足相关规范或不满足现场敷设要求的，投标方应负责修改，增加的相关费用招标方不予增补。</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3、</w:t>
      </w:r>
      <w:r>
        <w:rPr>
          <w:rFonts w:eastAsia="宋体"/>
          <w:color w:val="auto"/>
          <w:sz w:val="28"/>
          <w:szCs w:val="28"/>
          <w:lang w:eastAsia="zh-CN"/>
        </w:rPr>
        <w:t>凡与施工有关而又未说明之处</w:t>
      </w:r>
      <w:r>
        <w:rPr>
          <w:rFonts w:hint="eastAsia" w:eastAsia="宋体"/>
          <w:color w:val="auto"/>
          <w:sz w:val="28"/>
          <w:szCs w:val="28"/>
          <w:lang w:eastAsia="zh-CN"/>
        </w:rPr>
        <w:t>，</w:t>
      </w:r>
      <w:r>
        <w:rPr>
          <w:rFonts w:eastAsia="宋体"/>
          <w:color w:val="auto"/>
          <w:sz w:val="28"/>
          <w:szCs w:val="28"/>
          <w:lang w:eastAsia="zh-CN"/>
        </w:rPr>
        <w:t>参见国家、地方标准图集施工。</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4、</w:t>
      </w:r>
      <w:r>
        <w:rPr>
          <w:rFonts w:eastAsia="宋体"/>
          <w:color w:val="auto"/>
          <w:sz w:val="28"/>
          <w:szCs w:val="28"/>
          <w:lang w:eastAsia="zh-CN"/>
        </w:rPr>
        <w:t>施工时电气安装人员应结合现场建筑结构、各专业设备及管道布置安装的实际情况</w:t>
      </w:r>
      <w:r>
        <w:rPr>
          <w:rFonts w:hint="eastAsia" w:eastAsia="宋体"/>
          <w:color w:val="auto"/>
          <w:sz w:val="28"/>
          <w:szCs w:val="28"/>
          <w:lang w:eastAsia="zh-CN"/>
        </w:rPr>
        <w:t>，</w:t>
      </w:r>
      <w:r>
        <w:rPr>
          <w:rFonts w:eastAsia="宋体"/>
          <w:color w:val="auto"/>
          <w:sz w:val="28"/>
          <w:szCs w:val="28"/>
          <w:lang w:eastAsia="zh-CN"/>
        </w:rPr>
        <w:t>做好电气管线的预埋、有关箱体的预留孔洞以及防雷接地和等电位联结等工作。</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5、</w:t>
      </w:r>
      <w:r>
        <w:rPr>
          <w:rFonts w:eastAsia="宋体"/>
          <w:color w:val="auto"/>
          <w:sz w:val="28"/>
          <w:szCs w:val="28"/>
          <w:lang w:eastAsia="zh-CN"/>
        </w:rPr>
        <w:t>施工时应严格按国家有关施工质量验收规范、施工技术操作规程执行</w:t>
      </w:r>
      <w:r>
        <w:rPr>
          <w:rFonts w:hint="eastAsia"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6、</w:t>
      </w:r>
      <w:r>
        <w:rPr>
          <w:rFonts w:eastAsia="宋体"/>
          <w:color w:val="auto"/>
          <w:sz w:val="28"/>
          <w:szCs w:val="28"/>
          <w:lang w:eastAsia="zh-CN"/>
        </w:rPr>
        <w:t>投标方需具有类似项目（柴发、消防、低压配电安装等）实施经验</w:t>
      </w:r>
      <w:r>
        <w:rPr>
          <w:rFonts w:hint="eastAsia" w:eastAsia="宋体"/>
          <w:color w:val="auto"/>
          <w:sz w:val="28"/>
          <w:szCs w:val="28"/>
          <w:lang w:eastAsia="zh-CN"/>
        </w:rPr>
        <w:t>。</w:t>
      </w:r>
      <w:r>
        <w:rPr>
          <w:rFonts w:eastAsia="宋体"/>
          <w:color w:val="auto"/>
          <w:sz w:val="28"/>
          <w:szCs w:val="28"/>
          <w:lang w:eastAsia="zh-CN"/>
        </w:rPr>
        <w:t>进场后需编写施工组织设计，危大工程（若有）编写专项施工方案并报监理、业主审批，管理人员必须配齐全（项目经理一人、技术负责人一人、质量负责人一人、专职安全员一人）到岗到位，其中项目经理需持建造师证（机电）、专职安全员需持安全员证上岗，对于不能满足项目需求及规范需求的人员，投标方有权责令更换相关人员</w:t>
      </w:r>
      <w:r>
        <w:rPr>
          <w:rFonts w:hint="eastAsia" w:eastAsia="宋体"/>
          <w:color w:val="auto"/>
          <w:sz w:val="28"/>
          <w:szCs w:val="28"/>
          <w:lang w:eastAsia="zh-CN"/>
        </w:rPr>
        <w:t>，实施过程期间留有完整的实施工程资料（辽宁省工程文件资料）</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7、</w:t>
      </w:r>
      <w:r>
        <w:rPr>
          <w:rFonts w:eastAsia="宋体"/>
          <w:color w:val="auto"/>
          <w:sz w:val="28"/>
          <w:szCs w:val="28"/>
          <w:lang w:eastAsia="zh-CN"/>
        </w:rPr>
        <w:t>所有</w:t>
      </w:r>
      <w:r>
        <w:rPr>
          <w:rFonts w:hint="eastAsia" w:eastAsia="宋体"/>
          <w:color w:val="auto"/>
          <w:sz w:val="28"/>
          <w:szCs w:val="28"/>
          <w:lang w:eastAsia="zh-CN"/>
        </w:rPr>
        <w:t>施工</w:t>
      </w:r>
      <w:r>
        <w:rPr>
          <w:rFonts w:eastAsia="宋体"/>
          <w:color w:val="auto"/>
          <w:sz w:val="28"/>
          <w:szCs w:val="28"/>
          <w:lang w:eastAsia="zh-CN"/>
        </w:rPr>
        <w:t>人员，必须具有相关岗位</w:t>
      </w:r>
      <w:r>
        <w:rPr>
          <w:rFonts w:hint="eastAsia" w:eastAsia="宋体"/>
          <w:color w:val="auto"/>
          <w:sz w:val="28"/>
          <w:szCs w:val="28"/>
          <w:lang w:eastAsia="zh-CN"/>
        </w:rPr>
        <w:t>持证上岗</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8、招标单位</w:t>
      </w:r>
      <w:r>
        <w:rPr>
          <w:rFonts w:eastAsia="宋体"/>
          <w:color w:val="auto"/>
          <w:sz w:val="28"/>
          <w:szCs w:val="28"/>
          <w:lang w:eastAsia="zh-CN"/>
        </w:rPr>
        <w:t>应仔细阅读设计文件</w:t>
      </w:r>
      <w:r>
        <w:rPr>
          <w:rFonts w:hint="eastAsia" w:eastAsia="宋体"/>
          <w:color w:val="auto"/>
          <w:sz w:val="28"/>
          <w:szCs w:val="28"/>
          <w:lang w:eastAsia="zh-CN"/>
        </w:rPr>
        <w:t>及图纸</w:t>
      </w:r>
      <w:r>
        <w:rPr>
          <w:rFonts w:eastAsia="宋体"/>
          <w:color w:val="auto"/>
          <w:sz w:val="28"/>
          <w:szCs w:val="28"/>
          <w:lang w:eastAsia="zh-CN"/>
        </w:rPr>
        <w:t>，按照《建设工程安全生产管理条例》的要求，在工程施工中对所有涉及施工安全的部位进行全面、严格的防护，并严格按安全操作规程施工，以保证现场人员的安全</w:t>
      </w:r>
      <w:r>
        <w:rPr>
          <w:rFonts w:hint="eastAsia" w:eastAsia="宋体"/>
          <w:color w:val="auto"/>
          <w:sz w:val="28"/>
          <w:szCs w:val="28"/>
          <w:lang w:eastAsia="zh-CN"/>
        </w:rPr>
        <w:t>，同时投标单位人员、设施设备所有安全事故由投标方负责，所产生的经济损失由乙方承担</w:t>
      </w:r>
      <w:r>
        <w:rPr>
          <w:rFonts w:eastAsia="宋体"/>
          <w:color w:val="auto"/>
          <w:sz w:val="28"/>
          <w:szCs w:val="28"/>
          <w:lang w:eastAsia="zh-CN"/>
        </w:rPr>
        <w:t>。</w:t>
      </w:r>
    </w:p>
    <w:p>
      <w:pPr>
        <w:spacing w:line="360" w:lineRule="auto"/>
        <w:ind w:firstLine="560" w:firstLineChars="200"/>
        <w:rPr>
          <w:rFonts w:eastAsia="宋体"/>
          <w:color w:val="auto"/>
          <w:sz w:val="28"/>
          <w:szCs w:val="28"/>
          <w:lang w:eastAsia="zh-CN"/>
        </w:rPr>
      </w:pPr>
      <w:r>
        <w:rPr>
          <w:rFonts w:hint="eastAsia" w:eastAsia="宋体"/>
          <w:color w:val="auto"/>
          <w:sz w:val="28"/>
          <w:szCs w:val="28"/>
          <w:lang w:eastAsia="zh-CN"/>
        </w:rPr>
        <w:t>9、投标方必须提供的技术资料</w:t>
      </w:r>
      <w:r>
        <w:rPr>
          <w:rFonts w:eastAsia="宋体"/>
          <w:color w:val="auto"/>
          <w:sz w:val="28"/>
          <w:szCs w:val="28"/>
          <w:lang w:eastAsia="zh-CN"/>
        </w:rPr>
        <w:t>，</w:t>
      </w:r>
      <w:r>
        <w:rPr>
          <w:rFonts w:hint="eastAsia" w:eastAsia="宋体"/>
          <w:color w:val="auto"/>
          <w:sz w:val="28"/>
          <w:szCs w:val="28"/>
          <w:lang w:eastAsia="zh-CN"/>
        </w:rPr>
        <w:t>包括</w:t>
      </w:r>
      <w:r>
        <w:rPr>
          <w:rFonts w:eastAsia="宋体"/>
          <w:color w:val="auto"/>
          <w:sz w:val="28"/>
          <w:szCs w:val="28"/>
          <w:lang w:eastAsia="zh-CN"/>
        </w:rPr>
        <w:t>但</w:t>
      </w:r>
      <w:r>
        <w:rPr>
          <w:rFonts w:hint="eastAsia" w:eastAsia="宋体"/>
          <w:color w:val="auto"/>
          <w:sz w:val="28"/>
          <w:szCs w:val="28"/>
          <w:lang w:eastAsia="zh-CN"/>
        </w:rPr>
        <w:t>不限于</w:t>
      </w:r>
      <w:r>
        <w:rPr>
          <w:rFonts w:eastAsia="宋体"/>
          <w:color w:val="auto"/>
          <w:sz w:val="28"/>
          <w:szCs w:val="28"/>
          <w:lang w:eastAsia="zh-CN"/>
        </w:rPr>
        <w:t>以下范围：</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（1）电缆、柴发平面布置图。</w:t>
      </w:r>
    </w:p>
    <w:p>
      <w:pPr>
        <w:spacing w:line="360" w:lineRule="auto"/>
        <w:ind w:left="480" w:leftChars="200"/>
        <w:rPr>
          <w:rFonts w:eastAsia="宋体"/>
          <w:color w:val="auto"/>
          <w:sz w:val="28"/>
          <w:szCs w:val="28"/>
          <w:lang w:eastAsia="zh-CN"/>
        </w:rPr>
      </w:pPr>
      <w:r>
        <w:rPr>
          <w:rFonts w:hint="eastAsia" w:eastAsia="宋体"/>
          <w:color w:val="auto"/>
          <w:sz w:val="28"/>
          <w:szCs w:val="28"/>
          <w:lang w:eastAsia="zh-CN"/>
        </w:rPr>
        <w:t>（2）其他所需要的材料与检验</w:t>
      </w:r>
      <w:r>
        <w:rPr>
          <w:rFonts w:eastAsia="宋体"/>
          <w:color w:val="auto"/>
          <w:sz w:val="28"/>
          <w:szCs w:val="28"/>
          <w:lang w:eastAsia="zh-CN"/>
        </w:rPr>
        <w:t>，</w:t>
      </w:r>
      <w:r>
        <w:rPr>
          <w:rFonts w:hint="eastAsia" w:eastAsia="宋体"/>
          <w:color w:val="auto"/>
          <w:sz w:val="28"/>
          <w:szCs w:val="28"/>
          <w:lang w:eastAsia="zh-CN"/>
        </w:rPr>
        <w:t>例如桥架、支架、镀锌钢管</w:t>
      </w:r>
    </w:p>
    <w:p>
      <w:pPr>
        <w:spacing w:line="360" w:lineRule="auto"/>
        <w:rPr>
          <w:rFonts w:eastAsia="宋体"/>
          <w:color w:val="auto"/>
          <w:sz w:val="28"/>
          <w:szCs w:val="28"/>
          <w:lang w:eastAsia="zh-CN"/>
        </w:rPr>
      </w:pPr>
      <w:r>
        <w:rPr>
          <w:rFonts w:hint="eastAsia" w:eastAsia="宋体"/>
          <w:color w:val="auto"/>
          <w:sz w:val="28"/>
          <w:szCs w:val="28"/>
          <w:lang w:eastAsia="zh-CN"/>
        </w:rPr>
        <w:t>等材料及开孔、开挖量、检验检测费、配合消防、电力部门验收备案用等清单。</w:t>
      </w:r>
    </w:p>
    <w:p>
      <w:pPr>
        <w:spacing w:line="360" w:lineRule="auto"/>
        <w:rPr>
          <w:rFonts w:eastAsia="宋体"/>
          <w:color w:val="auto"/>
          <w:sz w:val="28"/>
          <w:szCs w:val="28"/>
          <w:lang w:eastAsia="zh-CN"/>
        </w:rPr>
      </w:pPr>
      <w:r>
        <w:rPr>
          <w:rFonts w:hint="eastAsia" w:eastAsia="宋体"/>
          <w:color w:val="auto"/>
          <w:sz w:val="28"/>
          <w:szCs w:val="28"/>
          <w:lang w:eastAsia="zh-CN"/>
        </w:rPr>
        <w:t xml:space="preserve">    （3）元器件的选型与配置清单。</w:t>
      </w:r>
    </w:p>
    <w:p>
      <w:pPr>
        <w:spacing w:line="360" w:lineRule="auto"/>
        <w:ind w:left="480"/>
        <w:rPr>
          <w:rFonts w:eastAsia="宋体"/>
          <w:color w:val="auto"/>
          <w:sz w:val="28"/>
          <w:szCs w:val="28"/>
          <w:lang w:eastAsia="zh-CN"/>
        </w:rPr>
      </w:pPr>
      <w:r>
        <w:rPr>
          <w:rFonts w:hint="eastAsia" w:eastAsia="宋体"/>
          <w:color w:val="auto"/>
          <w:sz w:val="28"/>
          <w:szCs w:val="28"/>
          <w:lang w:eastAsia="zh-CN"/>
        </w:rPr>
        <w:t>10、品牌要求</w:t>
      </w:r>
    </w:p>
    <w:p>
      <w:pPr>
        <w:numPr>
          <w:ilvl w:val="0"/>
          <w:numId w:val="6"/>
        </w:numPr>
        <w:spacing w:line="360" w:lineRule="auto"/>
        <w:ind w:left="0" w:firstLine="478" w:firstLineChars="171"/>
        <w:rPr>
          <w:rFonts w:eastAsia="宋体"/>
          <w:color w:val="auto"/>
          <w:sz w:val="28"/>
          <w:szCs w:val="28"/>
          <w:lang w:eastAsia="zh-CN"/>
        </w:rPr>
      </w:pPr>
      <w:r>
        <w:rPr>
          <w:rFonts w:hint="eastAsia" w:eastAsia="宋体"/>
          <w:color w:val="auto"/>
          <w:sz w:val="28"/>
          <w:szCs w:val="28"/>
          <w:lang w:eastAsia="zh-CN"/>
        </w:rPr>
        <w:t>发动机采用一线及以上品牌：广西玉柴、上海菱重、重庆康明斯、上柴股份、珀金斯、康明斯电力。</w:t>
      </w:r>
    </w:p>
    <w:p>
      <w:pPr>
        <w:numPr>
          <w:ilvl w:val="0"/>
          <w:numId w:val="6"/>
        </w:numPr>
        <w:spacing w:line="360" w:lineRule="auto"/>
        <w:ind w:left="0" w:firstLine="478" w:firstLineChars="171"/>
        <w:rPr>
          <w:rFonts w:eastAsia="宋体"/>
          <w:color w:val="auto"/>
          <w:sz w:val="28"/>
          <w:szCs w:val="28"/>
          <w:lang w:eastAsia="zh-CN"/>
        </w:rPr>
      </w:pPr>
      <w:r>
        <w:rPr>
          <w:rFonts w:eastAsia="宋体"/>
          <w:color w:val="auto"/>
          <w:sz w:val="28"/>
          <w:szCs w:val="28"/>
          <w:lang w:eastAsia="zh-CN"/>
        </w:rPr>
        <w:t>发电机</w:t>
      </w:r>
      <w:r>
        <w:rPr>
          <w:rFonts w:hint="eastAsia" w:eastAsia="宋体"/>
          <w:color w:val="auto"/>
          <w:sz w:val="28"/>
          <w:szCs w:val="28"/>
          <w:lang w:eastAsia="zh-CN"/>
        </w:rPr>
        <w:t>采用一线及以上品牌</w:t>
      </w:r>
      <w:r>
        <w:rPr>
          <w:rFonts w:eastAsia="宋体"/>
          <w:color w:val="auto"/>
          <w:sz w:val="28"/>
          <w:szCs w:val="28"/>
          <w:lang w:eastAsia="zh-CN"/>
        </w:rPr>
        <w:t>：江苏爱尔玛、广州英格、上海马拉松、无锡斯坦福</w:t>
      </w:r>
      <w:r>
        <w:rPr>
          <w:rFonts w:hint="eastAsia" w:eastAsia="宋体"/>
          <w:color w:val="auto"/>
          <w:sz w:val="28"/>
          <w:szCs w:val="28"/>
          <w:lang w:eastAsia="zh-CN"/>
        </w:rPr>
        <w:t>、康明斯电力。</w:t>
      </w:r>
    </w:p>
    <w:p>
      <w:pPr>
        <w:numPr>
          <w:ilvl w:val="0"/>
          <w:numId w:val="6"/>
        </w:numPr>
        <w:spacing w:line="360" w:lineRule="auto"/>
        <w:ind w:left="0" w:firstLine="478" w:firstLineChars="171"/>
        <w:rPr>
          <w:rFonts w:eastAsia="宋体"/>
          <w:color w:val="auto"/>
          <w:sz w:val="28"/>
          <w:szCs w:val="28"/>
          <w:lang w:eastAsia="zh-CN"/>
        </w:rPr>
      </w:pPr>
      <w:r>
        <w:rPr>
          <w:rFonts w:eastAsia="宋体"/>
          <w:color w:val="auto"/>
          <w:sz w:val="28"/>
          <w:szCs w:val="28"/>
          <w:lang w:eastAsia="zh-CN"/>
        </w:rPr>
        <w:t>控制器</w:t>
      </w:r>
      <w:r>
        <w:rPr>
          <w:rFonts w:hint="eastAsia" w:eastAsia="宋体"/>
          <w:color w:val="auto"/>
          <w:sz w:val="28"/>
          <w:szCs w:val="28"/>
          <w:lang w:eastAsia="zh-CN"/>
        </w:rPr>
        <w:t>采用一线及以上品牌</w:t>
      </w:r>
      <w:r>
        <w:rPr>
          <w:rFonts w:eastAsia="宋体"/>
          <w:color w:val="auto"/>
          <w:sz w:val="28"/>
          <w:szCs w:val="28"/>
          <w:lang w:eastAsia="zh-CN"/>
        </w:rPr>
        <w:t>：郑州众智、上海孚创、深海、科迈</w:t>
      </w:r>
      <w:r>
        <w:rPr>
          <w:rFonts w:hint="eastAsia" w:eastAsia="宋体"/>
          <w:color w:val="auto"/>
          <w:sz w:val="28"/>
          <w:szCs w:val="28"/>
          <w:lang w:eastAsia="zh-CN"/>
        </w:rPr>
        <w:t>、康明斯电力。</w:t>
      </w:r>
    </w:p>
    <w:p>
      <w:pPr>
        <w:numPr>
          <w:ilvl w:val="0"/>
          <w:numId w:val="6"/>
        </w:numPr>
        <w:spacing w:line="360" w:lineRule="auto"/>
        <w:ind w:left="0" w:firstLine="478" w:firstLineChars="171"/>
        <w:rPr>
          <w:rFonts w:eastAsia="宋体"/>
          <w:color w:val="auto"/>
          <w:sz w:val="28"/>
          <w:szCs w:val="28"/>
          <w:lang w:eastAsia="zh-CN"/>
        </w:rPr>
      </w:pPr>
      <w:r>
        <w:rPr>
          <w:rFonts w:eastAsia="宋体"/>
          <w:color w:val="auto"/>
          <w:sz w:val="28"/>
          <w:szCs w:val="28"/>
          <w:lang w:eastAsia="zh-CN"/>
        </w:rPr>
        <w:t>冷却系统（散热器）</w:t>
      </w:r>
      <w:r>
        <w:rPr>
          <w:rFonts w:hint="eastAsia" w:eastAsia="宋体"/>
          <w:color w:val="auto"/>
          <w:sz w:val="28"/>
          <w:szCs w:val="28"/>
          <w:lang w:eastAsia="zh-CN"/>
        </w:rPr>
        <w:t>采用一线及以上品牌</w:t>
      </w:r>
      <w:r>
        <w:rPr>
          <w:rFonts w:eastAsia="宋体"/>
          <w:color w:val="auto"/>
          <w:sz w:val="28"/>
          <w:szCs w:val="28"/>
          <w:lang w:eastAsia="zh-CN"/>
        </w:rPr>
        <w:t>：江苏维创、新乡法斯特、扬州万达</w:t>
      </w:r>
      <w:r>
        <w:rPr>
          <w:rFonts w:hint="eastAsia" w:eastAsia="宋体"/>
          <w:color w:val="auto"/>
          <w:sz w:val="28"/>
          <w:szCs w:val="28"/>
          <w:lang w:eastAsia="zh-CN"/>
        </w:rPr>
        <w:t>、康明斯电力</w:t>
      </w:r>
      <w:r>
        <w:rPr>
          <w:rFonts w:eastAsia="宋体"/>
          <w:color w:val="auto"/>
          <w:sz w:val="28"/>
          <w:szCs w:val="28"/>
          <w:lang w:eastAsia="zh-CN"/>
        </w:rPr>
        <w:t>。</w:t>
      </w:r>
    </w:p>
    <w:p>
      <w:pPr>
        <w:numPr>
          <w:ilvl w:val="0"/>
          <w:numId w:val="6"/>
        </w:numPr>
        <w:spacing w:line="360" w:lineRule="auto"/>
        <w:ind w:left="0" w:firstLine="478" w:firstLineChars="171"/>
        <w:rPr>
          <w:rFonts w:eastAsia="宋体"/>
          <w:color w:val="auto"/>
          <w:sz w:val="28"/>
          <w:szCs w:val="28"/>
          <w:lang w:eastAsia="zh-CN"/>
        </w:rPr>
      </w:pPr>
      <w:r>
        <w:rPr>
          <w:rFonts w:eastAsia="宋体"/>
          <w:color w:val="auto"/>
          <w:sz w:val="28"/>
          <w:szCs w:val="28"/>
          <w:lang w:eastAsia="zh-CN"/>
        </w:rPr>
        <w:t>电缆品牌采用国内一线品牌：</w:t>
      </w:r>
      <w:r>
        <w:rPr>
          <w:rFonts w:hint="eastAsia" w:eastAsia="宋体"/>
          <w:color w:val="auto"/>
          <w:sz w:val="28"/>
          <w:szCs w:val="28"/>
          <w:lang w:eastAsia="zh-CN"/>
        </w:rPr>
        <w:t>上上电缆</w:t>
      </w:r>
      <w:r>
        <w:rPr>
          <w:rFonts w:eastAsia="宋体"/>
          <w:color w:val="auto"/>
          <w:sz w:val="28"/>
          <w:szCs w:val="28"/>
          <w:lang w:eastAsia="zh-CN"/>
        </w:rPr>
        <w:t>，远东电缆，浦东电缆</w:t>
      </w:r>
      <w:r>
        <w:rPr>
          <w:rFonts w:hint="eastAsia" w:eastAsia="宋体"/>
          <w:color w:val="auto"/>
          <w:sz w:val="28"/>
          <w:szCs w:val="28"/>
          <w:lang w:eastAsia="zh-CN"/>
        </w:rPr>
        <w:t>及以上档次</w:t>
      </w:r>
      <w:r>
        <w:rPr>
          <w:rFonts w:eastAsia="宋体"/>
          <w:color w:val="auto"/>
          <w:sz w:val="28"/>
          <w:szCs w:val="28"/>
          <w:lang w:eastAsia="zh-CN"/>
        </w:rPr>
        <w:t>。</w:t>
      </w:r>
    </w:p>
    <w:p>
      <w:pPr>
        <w:numPr>
          <w:ilvl w:val="0"/>
          <w:numId w:val="6"/>
        </w:numPr>
        <w:spacing w:line="360" w:lineRule="auto"/>
        <w:ind w:left="0" w:firstLine="478" w:firstLineChars="171"/>
        <w:rPr>
          <w:rFonts w:eastAsia="宋体"/>
          <w:color w:val="auto"/>
          <w:sz w:val="28"/>
          <w:szCs w:val="28"/>
          <w:lang w:eastAsia="zh-CN"/>
        </w:rPr>
      </w:pPr>
      <w:r>
        <w:rPr>
          <w:rFonts w:hint="eastAsia" w:eastAsia="宋体"/>
          <w:color w:val="auto"/>
          <w:sz w:val="28"/>
          <w:szCs w:val="28"/>
          <w:lang w:eastAsia="zh-CN"/>
        </w:rPr>
        <w:t>开关柜、元器件采用合资一线品牌：施耐德，ABB，西门子，欧姆龙及以上档次。</w:t>
      </w:r>
    </w:p>
    <w:p>
      <w:pPr>
        <w:spacing w:line="360" w:lineRule="auto"/>
        <w:ind w:firstLine="560" w:firstLineChars="200"/>
        <w:outlineLvl w:val="0"/>
        <w:rPr>
          <w:bCs/>
          <w:color w:val="auto"/>
          <w:sz w:val="28"/>
          <w:szCs w:val="28"/>
          <w:lang w:eastAsia="zh-CN"/>
        </w:rPr>
      </w:pPr>
      <w:bookmarkStart w:id="11" w:name="_Toc23502"/>
      <w:r>
        <w:rPr>
          <w:rFonts w:eastAsia="宋体"/>
          <w:color w:val="auto"/>
          <w:sz w:val="28"/>
          <w:szCs w:val="28"/>
          <w:lang w:eastAsia="zh-CN"/>
        </w:rPr>
        <w:t>五、</w:t>
      </w:r>
      <w:r>
        <w:rPr>
          <w:rFonts w:hint="eastAsia"/>
          <w:bCs/>
          <w:color w:val="auto"/>
          <w:sz w:val="28"/>
          <w:szCs w:val="28"/>
          <w:lang w:eastAsia="zh-CN"/>
        </w:rPr>
        <w:t>项目交货期、安装调试及培训</w:t>
      </w:r>
      <w:bookmarkEnd w:id="11"/>
    </w:p>
    <w:p>
      <w:pPr>
        <w:spacing w:line="360" w:lineRule="auto"/>
        <w:ind w:firstLine="560" w:firstLineChars="200"/>
        <w:rPr>
          <w:bCs/>
          <w:color w:val="auto"/>
          <w:sz w:val="28"/>
          <w:szCs w:val="28"/>
          <w:lang w:eastAsia="zh-CN"/>
        </w:rPr>
      </w:pPr>
      <w:r>
        <w:rPr>
          <w:rFonts w:hint="eastAsia"/>
          <w:bCs/>
          <w:color w:val="auto"/>
          <w:sz w:val="28"/>
          <w:szCs w:val="28"/>
          <w:lang w:eastAsia="zh-CN"/>
        </w:rPr>
        <w:t>1</w:t>
      </w:r>
      <w:r>
        <w:rPr>
          <w:rFonts w:hint="eastAsia" w:eastAsia="宋体"/>
          <w:bCs/>
          <w:color w:val="auto"/>
          <w:sz w:val="28"/>
          <w:szCs w:val="28"/>
          <w:lang w:eastAsia="zh-CN"/>
        </w:rPr>
        <w:t>、</w:t>
      </w:r>
      <w:r>
        <w:rPr>
          <w:rFonts w:hint="eastAsia"/>
          <w:bCs/>
          <w:color w:val="auto"/>
          <w:sz w:val="28"/>
          <w:szCs w:val="28"/>
          <w:lang w:eastAsia="zh-CN"/>
        </w:rPr>
        <w:t>交货期：签订合同后，中标方应在30天内交货，</w:t>
      </w:r>
      <w:r>
        <w:rPr>
          <w:rFonts w:eastAsia="宋体"/>
          <w:bCs/>
          <w:color w:val="auto"/>
          <w:sz w:val="28"/>
          <w:szCs w:val="28"/>
          <w:lang w:eastAsia="zh-CN"/>
        </w:rPr>
        <w:t>30</w:t>
      </w:r>
      <w:r>
        <w:rPr>
          <w:rFonts w:hint="eastAsia"/>
          <w:bCs/>
          <w:color w:val="auto"/>
          <w:sz w:val="28"/>
          <w:szCs w:val="28"/>
          <w:lang w:eastAsia="zh-CN"/>
        </w:rPr>
        <w:t>天内完成安装</w:t>
      </w:r>
      <w:r>
        <w:rPr>
          <w:rFonts w:hint="eastAsia" w:eastAsia="宋体"/>
          <w:bCs/>
          <w:color w:val="auto"/>
          <w:sz w:val="28"/>
          <w:szCs w:val="28"/>
          <w:lang w:eastAsia="zh-CN"/>
        </w:rPr>
        <w:t>敷设</w:t>
      </w:r>
      <w:r>
        <w:rPr>
          <w:rFonts w:hint="eastAsia"/>
          <w:bCs/>
          <w:color w:val="auto"/>
          <w:sz w:val="28"/>
          <w:szCs w:val="28"/>
          <w:lang w:eastAsia="zh-CN"/>
        </w:rPr>
        <w:t>及</w:t>
      </w:r>
      <w:r>
        <w:rPr>
          <w:rFonts w:hint="eastAsia" w:eastAsia="宋体"/>
          <w:bCs/>
          <w:color w:val="auto"/>
          <w:sz w:val="28"/>
          <w:szCs w:val="28"/>
          <w:lang w:eastAsia="zh-CN"/>
        </w:rPr>
        <w:t>调试验收及消防部门验收</w:t>
      </w:r>
      <w:r>
        <w:rPr>
          <w:rFonts w:hint="eastAsia"/>
          <w:bCs/>
          <w:color w:val="auto"/>
          <w:sz w:val="28"/>
          <w:szCs w:val="28"/>
          <w:lang w:eastAsia="zh-CN"/>
        </w:rPr>
        <w:t>工作。</w:t>
      </w:r>
    </w:p>
    <w:p>
      <w:pPr>
        <w:spacing w:line="360" w:lineRule="auto"/>
        <w:ind w:firstLine="560" w:firstLineChars="200"/>
        <w:rPr>
          <w:rFonts w:eastAsia="宋体"/>
          <w:bCs/>
          <w:color w:val="auto"/>
          <w:sz w:val="28"/>
          <w:szCs w:val="28"/>
          <w:lang w:eastAsia="zh-CN"/>
        </w:rPr>
      </w:pPr>
      <w:r>
        <w:rPr>
          <w:rFonts w:hint="eastAsia"/>
          <w:bCs/>
          <w:color w:val="auto"/>
          <w:sz w:val="28"/>
          <w:szCs w:val="28"/>
          <w:lang w:eastAsia="zh-CN"/>
        </w:rPr>
        <w:t>2</w:t>
      </w:r>
      <w:r>
        <w:rPr>
          <w:rFonts w:hint="eastAsia" w:eastAsia="宋体"/>
          <w:bCs/>
          <w:color w:val="auto"/>
          <w:sz w:val="28"/>
          <w:szCs w:val="28"/>
          <w:lang w:eastAsia="zh-CN"/>
        </w:rPr>
        <w:t>、</w:t>
      </w:r>
      <w:r>
        <w:rPr>
          <w:rFonts w:hint="eastAsia"/>
          <w:bCs/>
          <w:color w:val="auto"/>
          <w:sz w:val="28"/>
          <w:szCs w:val="28"/>
          <w:lang w:eastAsia="zh-CN"/>
        </w:rPr>
        <w:t>整个工程质量必须满足甲方签定的合同书中所要求的质量等级，要达到施工图纸设计要求以及国家、地区或行业标准规范和强制性条文的规定</w:t>
      </w:r>
      <w:r>
        <w:rPr>
          <w:rFonts w:hint="eastAsia" w:eastAsia="宋体"/>
          <w:bCs/>
          <w:color w:val="auto"/>
          <w:sz w:val="28"/>
          <w:szCs w:val="28"/>
          <w:lang w:eastAsia="zh-CN"/>
        </w:rPr>
        <w:t>，且验收时必须经过规范规定的相关电气实验。</w:t>
      </w:r>
    </w:p>
    <w:p>
      <w:pPr>
        <w:spacing w:line="360" w:lineRule="auto"/>
        <w:ind w:firstLine="560" w:firstLineChars="200"/>
        <w:rPr>
          <w:rFonts w:eastAsia="宋体"/>
          <w:bCs/>
          <w:color w:val="auto"/>
          <w:sz w:val="28"/>
          <w:szCs w:val="28"/>
          <w:lang w:eastAsia="zh-CN"/>
        </w:rPr>
      </w:pPr>
      <w:r>
        <w:rPr>
          <w:rFonts w:hint="eastAsia" w:eastAsia="宋体"/>
          <w:bCs/>
          <w:color w:val="auto"/>
          <w:sz w:val="28"/>
          <w:szCs w:val="28"/>
          <w:lang w:eastAsia="zh-CN"/>
        </w:rPr>
        <w:t>3、验收产生的检验检测费用及报当地消防部门、供电部门等政府职能机构备案验收及检测费用包含在本次投标报价内。</w:t>
      </w:r>
    </w:p>
    <w:p>
      <w:pPr>
        <w:spacing w:line="360" w:lineRule="auto"/>
        <w:ind w:firstLine="560" w:firstLineChars="200"/>
        <w:outlineLvl w:val="0"/>
        <w:rPr>
          <w:bCs/>
          <w:color w:val="auto"/>
          <w:sz w:val="28"/>
          <w:szCs w:val="28"/>
          <w:lang w:eastAsia="zh-CN"/>
        </w:rPr>
      </w:pPr>
      <w:bookmarkStart w:id="12" w:name="_Toc32201"/>
      <w:r>
        <w:rPr>
          <w:rFonts w:eastAsia="宋体"/>
          <w:bCs/>
          <w:color w:val="auto"/>
          <w:sz w:val="28"/>
          <w:szCs w:val="28"/>
          <w:lang w:eastAsia="zh-CN"/>
        </w:rPr>
        <w:t>六</w:t>
      </w:r>
      <w:r>
        <w:rPr>
          <w:rFonts w:hint="eastAsia"/>
          <w:bCs/>
          <w:color w:val="auto"/>
          <w:sz w:val="28"/>
          <w:szCs w:val="28"/>
          <w:lang w:eastAsia="zh-CN"/>
        </w:rPr>
        <w:t>、项目质保及售后服务</w:t>
      </w:r>
      <w:bookmarkEnd w:id="12"/>
    </w:p>
    <w:p>
      <w:pPr>
        <w:spacing w:line="360" w:lineRule="auto"/>
        <w:ind w:firstLine="560" w:firstLineChars="200"/>
        <w:rPr>
          <w:rFonts w:ascii="宋体" w:hAnsi="宋体" w:cs="宋体"/>
          <w:color w:val="auto"/>
          <w:sz w:val="28"/>
          <w:szCs w:val="28"/>
          <w:lang w:eastAsia="zh-CN"/>
        </w:rPr>
      </w:pPr>
      <w:r>
        <w:rPr>
          <w:bCs/>
          <w:color w:val="auto"/>
          <w:sz w:val="28"/>
          <w:szCs w:val="28"/>
          <w:lang w:eastAsia="zh-CN"/>
        </w:rPr>
        <w:t>1、</w:t>
      </w:r>
      <w:r>
        <w:rPr>
          <w:rFonts w:hint="eastAsia"/>
          <w:bCs/>
          <w:color w:val="auto"/>
          <w:sz w:val="28"/>
          <w:szCs w:val="28"/>
          <w:lang w:eastAsia="zh-CN"/>
        </w:rPr>
        <w:t>中标方须承诺柴油发电机、</w:t>
      </w:r>
      <w:r>
        <w:rPr>
          <w:rFonts w:hint="eastAsia" w:eastAsia="宋体"/>
          <w:bCs/>
          <w:color w:val="auto"/>
          <w:sz w:val="28"/>
          <w:szCs w:val="28"/>
          <w:lang w:eastAsia="zh-CN"/>
        </w:rPr>
        <w:t>成套柜、电缆的质保期不低于2年，电缆寿命不低于30年，柴油发电机寿命不低于25年</w:t>
      </w:r>
      <w:r>
        <w:rPr>
          <w:rFonts w:hint="eastAsia"/>
          <w:bCs/>
          <w:color w:val="auto"/>
          <w:sz w:val="28"/>
          <w:szCs w:val="28"/>
          <w:lang w:eastAsia="zh-CN"/>
        </w:rPr>
        <w:t>；中标方购置其他设备质保期不得低于两年，且必须提供相应质保期证明；质保期从</w:t>
      </w:r>
      <w:r>
        <w:rPr>
          <w:rFonts w:hint="eastAsia" w:ascii="宋体" w:hAnsi="宋体" w:cs="宋体"/>
          <w:color w:val="auto"/>
          <w:sz w:val="28"/>
          <w:szCs w:val="28"/>
          <w:lang w:eastAsia="zh-CN"/>
        </w:rPr>
        <w:t>终验收合格之日起算。</w:t>
      </w:r>
    </w:p>
    <w:p>
      <w:pPr>
        <w:spacing w:line="360" w:lineRule="auto"/>
        <w:ind w:firstLine="560" w:firstLineChars="200"/>
        <w:rPr>
          <w:bCs/>
          <w:color w:val="auto"/>
          <w:sz w:val="28"/>
          <w:szCs w:val="28"/>
          <w:lang w:eastAsia="zh-CN"/>
        </w:rPr>
      </w:pPr>
      <w:r>
        <w:rPr>
          <w:bCs/>
          <w:color w:val="auto"/>
          <w:sz w:val="28"/>
          <w:szCs w:val="28"/>
          <w:lang w:eastAsia="zh-CN"/>
        </w:rPr>
        <w:t>2、</w:t>
      </w:r>
      <w:r>
        <w:rPr>
          <w:rFonts w:hint="eastAsia"/>
          <w:bCs/>
          <w:color w:val="auto"/>
          <w:sz w:val="28"/>
          <w:szCs w:val="28"/>
          <w:lang w:eastAsia="zh-CN"/>
        </w:rPr>
        <w:t>质保期内，质保期内，乙方承担免费保修责任，货物出现问题的，乙方应当向甲方或甲方指定第三方提供电话或者远程技术支持；对于通过电话无法解决的问题，乙方应当指派专业技术人员</w:t>
      </w:r>
      <w:r>
        <w:rPr>
          <w:rFonts w:hint="eastAsia" w:eastAsia="宋体"/>
          <w:bCs/>
          <w:color w:val="auto"/>
          <w:sz w:val="28"/>
          <w:szCs w:val="28"/>
          <w:lang w:eastAsia="zh-CN"/>
        </w:rPr>
        <w:t>12</w:t>
      </w:r>
      <w:r>
        <w:rPr>
          <w:rFonts w:hint="eastAsia"/>
          <w:bCs/>
          <w:color w:val="auto"/>
          <w:sz w:val="28"/>
          <w:szCs w:val="28"/>
          <w:lang w:eastAsia="zh-CN"/>
        </w:rPr>
        <w:t>小时内到达现场，并于24小时内完成维修工作。如果仍无法恢复使用，则乙方需要提供备品备件或进行更换，以保证甲方的正常使用。乙方不能按照</w:t>
      </w:r>
      <w:r>
        <w:rPr>
          <w:rFonts w:hint="eastAsia" w:eastAsia="宋体"/>
          <w:bCs/>
          <w:color w:val="auto"/>
          <w:sz w:val="28"/>
          <w:szCs w:val="28"/>
          <w:lang w:eastAsia="zh-CN"/>
        </w:rPr>
        <w:t>质保售后</w:t>
      </w:r>
      <w:r>
        <w:rPr>
          <w:rFonts w:hint="eastAsia"/>
          <w:bCs/>
          <w:color w:val="auto"/>
          <w:sz w:val="28"/>
          <w:szCs w:val="28"/>
          <w:lang w:eastAsia="zh-CN"/>
        </w:rPr>
        <w:t>约定履行义务，甲方有权另行委托有资质的单位进行维修、更换，由此产生的相关费用由乙方承担，甲方有权将费用自行从质保金中扣除。</w:t>
      </w:r>
    </w:p>
    <w:p>
      <w:pPr>
        <w:spacing w:line="360" w:lineRule="auto"/>
        <w:ind w:firstLine="560" w:firstLineChars="200"/>
        <w:rPr>
          <w:bCs/>
          <w:color w:val="auto"/>
          <w:sz w:val="28"/>
          <w:szCs w:val="28"/>
          <w:lang w:eastAsia="zh-CN"/>
        </w:rPr>
      </w:pPr>
      <w:r>
        <w:rPr>
          <w:bCs/>
          <w:color w:val="auto"/>
          <w:sz w:val="28"/>
          <w:szCs w:val="28"/>
          <w:lang w:eastAsia="zh-CN"/>
        </w:rPr>
        <w:t>3、</w:t>
      </w:r>
      <w:r>
        <w:rPr>
          <w:rFonts w:hint="eastAsia"/>
          <w:bCs/>
          <w:color w:val="auto"/>
          <w:sz w:val="28"/>
          <w:szCs w:val="28"/>
          <w:lang w:eastAsia="zh-CN"/>
        </w:rPr>
        <w:t>质保期后，中标方提供设备的终身维修及零配件的及时供应。</w:t>
      </w:r>
    </w:p>
    <w:p>
      <w:pPr>
        <w:spacing w:line="360" w:lineRule="auto"/>
        <w:rPr>
          <w:rFonts w:eastAsia="宋体"/>
          <w:bCs/>
          <w:color w:val="auto"/>
          <w:sz w:val="28"/>
          <w:szCs w:val="28"/>
          <w:lang w:eastAsia="zh-CN"/>
        </w:rPr>
      </w:pPr>
    </w:p>
    <w:p>
      <w:pPr>
        <w:spacing w:line="360" w:lineRule="auto"/>
        <w:rPr>
          <w:rFonts w:eastAsia="宋体"/>
          <w:bCs/>
          <w:color w:val="auto"/>
          <w:sz w:val="28"/>
          <w:szCs w:val="28"/>
          <w:lang w:eastAsia="zh-CN"/>
        </w:rPr>
      </w:pPr>
      <w:r>
        <w:rPr>
          <w:rFonts w:eastAsia="宋体"/>
          <w:bCs/>
          <w:color w:val="auto"/>
          <w:sz w:val="28"/>
          <w:szCs w:val="28"/>
          <w:lang w:eastAsia="zh-CN"/>
        </w:rPr>
        <w:t xml:space="preserve">         </w:t>
      </w:r>
    </w:p>
    <w:sectPr>
      <w:footerReference r:id="rId7" w:type="default"/>
      <w:pgSz w:w="11906" w:h="16838"/>
      <w:pgMar w:top="1440" w:right="1800" w:bottom="1440" w:left="2040" w:header="851" w:footer="992" w:gutter="0"/>
      <w:pgNumType w:start="1"/>
      <w:cols w:space="720"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简体">
    <w:altName w:val="宋体"/>
    <w:panose1 w:val="00000000000000000000"/>
    <w:charset w:val="86"/>
    <w:family w:val="auto"/>
    <w:pitch w:val="default"/>
    <w:sig w:usb0="00000000" w:usb1="00000000" w:usb2="00000010" w:usb3="00000000" w:csb0="00040000"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1</w:t>
    </w:r>
    <w:r>
      <w:rPr>
        <w:rStyle w:val="12"/>
      </w:rPr>
      <w:fldChar w:fldCharType="end"/>
    </w:r>
  </w:p>
  <w:p>
    <w:pPr>
      <w:pStyle w:val="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jc w:val="right"/>
    </w:pPr>
    <w: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7"/>
                </w:pPr>
                <w:r>
                  <w:rPr>
                    <w:rStyle w:val="12"/>
                  </w:rPr>
                  <w:fldChar w:fldCharType="begin"/>
                </w:r>
                <w:r>
                  <w:rPr>
                    <w:rStyle w:val="12"/>
                  </w:rPr>
                  <w:instrText xml:space="preserve">Page</w:instrText>
                </w:r>
                <w:r>
                  <w:rPr>
                    <w:rStyle w:val="12"/>
                  </w:rPr>
                  <w:fldChar w:fldCharType="separate"/>
                </w:r>
                <w:r>
                  <w:rPr>
                    <w:rStyle w:val="12"/>
                  </w:rPr>
                  <w:t>23</w:t>
                </w:r>
                <w:r>
                  <w:rPr>
                    <w:rStyle w:val="12"/>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left"/>
      <w:rPr>
        <w:sz w:val="8"/>
        <w:szCs w:val="15"/>
        <w:lang w:eastAsia="zh-CN"/>
      </w:rPr>
    </w:pPr>
    <w:r>
      <w:rPr>
        <w:rFonts w:hint="eastAsia"/>
        <w:szCs w:val="18"/>
        <w:lang w:eastAsia="zh-CN"/>
      </w:rPr>
      <w:t>涪陵榨菜集团东北泡菜生产基地柴油发电机系统</w:t>
    </w:r>
    <w:r>
      <w:rPr>
        <w:szCs w:val="18"/>
        <w:lang w:eastAsia="zh-CN"/>
      </w:rPr>
      <w:t>技术要求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739556"/>
    <w:multiLevelType w:val="singleLevel"/>
    <w:tmpl w:val="8C739556"/>
    <w:lvl w:ilvl="0" w:tentative="0">
      <w:start w:val="3"/>
      <w:numFmt w:val="decimal"/>
      <w:lvlText w:val="%1)"/>
      <w:lvlJc w:val="left"/>
      <w:pPr>
        <w:tabs>
          <w:tab w:val="left" w:pos="312"/>
        </w:tabs>
      </w:pPr>
    </w:lvl>
  </w:abstractNum>
  <w:abstractNum w:abstractNumId="1">
    <w:nsid w:val="8F73ECBC"/>
    <w:multiLevelType w:val="singleLevel"/>
    <w:tmpl w:val="8F73ECBC"/>
    <w:lvl w:ilvl="0" w:tentative="0">
      <w:start w:val="2"/>
      <w:numFmt w:val="chineseCounting"/>
      <w:suff w:val="nothing"/>
      <w:lvlText w:val="%1、"/>
      <w:lvlJc w:val="left"/>
      <w:rPr>
        <w:rFonts w:hint="eastAsia"/>
      </w:rPr>
    </w:lvl>
  </w:abstractNum>
  <w:abstractNum w:abstractNumId="2">
    <w:nsid w:val="B8389B9D"/>
    <w:multiLevelType w:val="singleLevel"/>
    <w:tmpl w:val="B8389B9D"/>
    <w:lvl w:ilvl="0" w:tentative="0">
      <w:start w:val="2"/>
      <w:numFmt w:val="decimal"/>
      <w:suff w:val="nothing"/>
      <w:lvlText w:val="%1、"/>
      <w:lvlJc w:val="left"/>
      <w:pPr>
        <w:ind w:left="1106" w:firstLine="0"/>
      </w:pPr>
    </w:lvl>
  </w:abstractNum>
  <w:abstractNum w:abstractNumId="3">
    <w:nsid w:val="B85FF26D"/>
    <w:multiLevelType w:val="singleLevel"/>
    <w:tmpl w:val="B85FF26D"/>
    <w:lvl w:ilvl="0" w:tentative="0">
      <w:start w:val="2"/>
      <w:numFmt w:val="chineseCounting"/>
      <w:suff w:val="nothing"/>
      <w:lvlText w:val="（%1）"/>
      <w:lvlJc w:val="left"/>
      <w:pPr>
        <w:ind w:left="-80"/>
      </w:pPr>
      <w:rPr>
        <w:rFonts w:hint="eastAsia"/>
      </w:rPr>
    </w:lvl>
  </w:abstractNum>
  <w:abstractNum w:abstractNumId="4">
    <w:nsid w:val="EF25925D"/>
    <w:multiLevelType w:val="singleLevel"/>
    <w:tmpl w:val="EF25925D"/>
    <w:lvl w:ilvl="0" w:tentative="0">
      <w:start w:val="1"/>
      <w:numFmt w:val="decimal"/>
      <w:suff w:val="nothing"/>
      <w:lvlText w:val="（%1）"/>
      <w:lvlJc w:val="left"/>
      <w:pPr>
        <w:ind w:left="560" w:firstLine="0"/>
      </w:pPr>
    </w:lvl>
  </w:abstractNum>
  <w:abstractNum w:abstractNumId="5">
    <w:nsid w:val="3CF4BDE4"/>
    <w:multiLevelType w:val="singleLevel"/>
    <w:tmpl w:val="3CF4BDE4"/>
    <w:lvl w:ilvl="0" w:tentative="0">
      <w:start w:val="1"/>
      <w:numFmt w:val="chineseCounting"/>
      <w:suff w:val="nothing"/>
      <w:lvlText w:val="（%1）"/>
      <w:lvlJc w:val="left"/>
      <w:pPr>
        <w:tabs>
          <w:tab w:val="left" w:pos="0"/>
        </w:tabs>
        <w:ind w:left="0" w:firstLine="0"/>
      </w:pPr>
      <w:rPr>
        <w:rFonts w:hint="eastAsia"/>
      </w:rPr>
    </w:lvl>
  </w:abstractNum>
  <w:num w:numId="1">
    <w:abstractNumId w:val="1"/>
  </w:num>
  <w:num w:numId="2">
    <w:abstractNumId w:val="5"/>
  </w:num>
  <w:num w:numId="3">
    <w:abstractNumId w:val="2"/>
  </w:num>
  <w:num w:numId="4">
    <w:abstractNumId w:val="3"/>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120"/>
  <w:drawingGridVerticalSpacing w:val="156"/>
  <w:noPunctuationKerning w:val="1"/>
  <w:characterSpacingControl w:val="compressPunctuation"/>
  <w:hdrShapeDefaults>
    <o:shapelayout v:ext="edit">
      <o:idmap v:ext="edit" data="3"/>
    </o:shapelayout>
  </w:hdrShapeDefaults>
  <w:compat>
    <w:spaceForUL/>
    <w:balanceSingleByteDoubleByteWidth/>
    <w:ulTrailSpace/>
    <w:doNotExpandShiftReturn/>
    <w:adjustLineHeightInTable/>
    <w:doNotWrapTextWithPunct/>
    <w:doNotUseEastAsianBreakRules/>
    <w:growAutofit/>
    <w:useFELayout/>
    <w:doNotUseIndentAsNumberingTabStop/>
    <w:useAltKinsokuLineBreakRules/>
    <w:splitPgBreakAndParaMark/>
    <w:compatSetting w:name="compatibilityMode" w:uri="http://schemas.microsoft.com/office/word" w:val="12"/>
  </w:compat>
  <w:rsids>
    <w:rsidRoot w:val="00C41E0F"/>
    <w:rsid w:val="00136225"/>
    <w:rsid w:val="003A1912"/>
    <w:rsid w:val="004901E9"/>
    <w:rsid w:val="00511EB3"/>
    <w:rsid w:val="008F09B9"/>
    <w:rsid w:val="009E0B31"/>
    <w:rsid w:val="00A25F60"/>
    <w:rsid w:val="00AF6C28"/>
    <w:rsid w:val="00C41E0F"/>
    <w:rsid w:val="00C601FE"/>
    <w:rsid w:val="00D33944"/>
    <w:rsid w:val="00D93194"/>
    <w:rsid w:val="00E77C85"/>
    <w:rsid w:val="031226B6"/>
    <w:rsid w:val="0497301A"/>
    <w:rsid w:val="052B5139"/>
    <w:rsid w:val="05C80770"/>
    <w:rsid w:val="0606496F"/>
    <w:rsid w:val="0714289B"/>
    <w:rsid w:val="082C45CA"/>
    <w:rsid w:val="088D1064"/>
    <w:rsid w:val="09724E15"/>
    <w:rsid w:val="0988288E"/>
    <w:rsid w:val="0A990663"/>
    <w:rsid w:val="0BED105C"/>
    <w:rsid w:val="0D2662E6"/>
    <w:rsid w:val="0D593ACE"/>
    <w:rsid w:val="0ED5201E"/>
    <w:rsid w:val="0F5511E1"/>
    <w:rsid w:val="0F5B4597"/>
    <w:rsid w:val="0FBA6E6A"/>
    <w:rsid w:val="10B74B4C"/>
    <w:rsid w:val="10CA1D96"/>
    <w:rsid w:val="10CF6554"/>
    <w:rsid w:val="10F2110E"/>
    <w:rsid w:val="15183509"/>
    <w:rsid w:val="153D482E"/>
    <w:rsid w:val="18E333CF"/>
    <w:rsid w:val="18F26923"/>
    <w:rsid w:val="1AD67034"/>
    <w:rsid w:val="1C4C2A5F"/>
    <w:rsid w:val="1E0D732D"/>
    <w:rsid w:val="22494842"/>
    <w:rsid w:val="23B071B2"/>
    <w:rsid w:val="23E772B2"/>
    <w:rsid w:val="23F11D23"/>
    <w:rsid w:val="26136AB1"/>
    <w:rsid w:val="2740034B"/>
    <w:rsid w:val="28E03E9F"/>
    <w:rsid w:val="295B4D46"/>
    <w:rsid w:val="29A55668"/>
    <w:rsid w:val="29AA44B5"/>
    <w:rsid w:val="29B27794"/>
    <w:rsid w:val="29B93630"/>
    <w:rsid w:val="2A2A4B3C"/>
    <w:rsid w:val="2ADC1E19"/>
    <w:rsid w:val="2B9310F8"/>
    <w:rsid w:val="2C38383D"/>
    <w:rsid w:val="2DDB61CB"/>
    <w:rsid w:val="2E621572"/>
    <w:rsid w:val="2FE3520C"/>
    <w:rsid w:val="30346EC6"/>
    <w:rsid w:val="309664B4"/>
    <w:rsid w:val="30A4385D"/>
    <w:rsid w:val="336D1143"/>
    <w:rsid w:val="33776AAE"/>
    <w:rsid w:val="355C4377"/>
    <w:rsid w:val="356F0BE0"/>
    <w:rsid w:val="373725C5"/>
    <w:rsid w:val="37553708"/>
    <w:rsid w:val="377B66F0"/>
    <w:rsid w:val="38607A82"/>
    <w:rsid w:val="3B430413"/>
    <w:rsid w:val="3BD56EDB"/>
    <w:rsid w:val="3D3F6960"/>
    <w:rsid w:val="3E4F2685"/>
    <w:rsid w:val="40C04E82"/>
    <w:rsid w:val="4239662B"/>
    <w:rsid w:val="42FA7AB9"/>
    <w:rsid w:val="43BF2DA0"/>
    <w:rsid w:val="444A496F"/>
    <w:rsid w:val="44676E8F"/>
    <w:rsid w:val="446F2E37"/>
    <w:rsid w:val="45F62952"/>
    <w:rsid w:val="464058C9"/>
    <w:rsid w:val="46BA4F62"/>
    <w:rsid w:val="497361DB"/>
    <w:rsid w:val="49D004F0"/>
    <w:rsid w:val="4B7D4FFF"/>
    <w:rsid w:val="4BBF242B"/>
    <w:rsid w:val="4C6D6669"/>
    <w:rsid w:val="4CBC5773"/>
    <w:rsid w:val="4CC254E6"/>
    <w:rsid w:val="4DE31DDC"/>
    <w:rsid w:val="4E4B208D"/>
    <w:rsid w:val="4FBD6673"/>
    <w:rsid w:val="4FC06E54"/>
    <w:rsid w:val="4FFE6835"/>
    <w:rsid w:val="526501BA"/>
    <w:rsid w:val="53BD2DBC"/>
    <w:rsid w:val="54020CC5"/>
    <w:rsid w:val="54942319"/>
    <w:rsid w:val="577A376F"/>
    <w:rsid w:val="59434F62"/>
    <w:rsid w:val="59A7104D"/>
    <w:rsid w:val="5AE14D89"/>
    <w:rsid w:val="5B0C1FFA"/>
    <w:rsid w:val="5B8F7FFC"/>
    <w:rsid w:val="5C5C6BC6"/>
    <w:rsid w:val="5E3658B2"/>
    <w:rsid w:val="5EAA44AA"/>
    <w:rsid w:val="5F220BA5"/>
    <w:rsid w:val="5FA258F5"/>
    <w:rsid w:val="6005265C"/>
    <w:rsid w:val="6379543F"/>
    <w:rsid w:val="63FC5487"/>
    <w:rsid w:val="66842736"/>
    <w:rsid w:val="690D5AF0"/>
    <w:rsid w:val="6A334503"/>
    <w:rsid w:val="6A8637A5"/>
    <w:rsid w:val="6ADC2469"/>
    <w:rsid w:val="6C486584"/>
    <w:rsid w:val="6D141AED"/>
    <w:rsid w:val="6D573460"/>
    <w:rsid w:val="6EE96A46"/>
    <w:rsid w:val="70CE7D96"/>
    <w:rsid w:val="71723111"/>
    <w:rsid w:val="71AE4AC3"/>
    <w:rsid w:val="72C158C8"/>
    <w:rsid w:val="76FE7D5E"/>
    <w:rsid w:val="7737205F"/>
    <w:rsid w:val="77777208"/>
    <w:rsid w:val="77D96084"/>
    <w:rsid w:val="79387C62"/>
    <w:rsid w:val="7AAC5374"/>
    <w:rsid w:val="7D9F1E23"/>
    <w:rsid w:val="7F7023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ascii="Times New Roman" w:hAnsi="Times New Roman" w:eastAsia="Times New Roman" w:cs="Times New Roman"/>
      <w:color w:val="000000"/>
      <w:sz w:val="24"/>
      <w:szCs w:val="24"/>
      <w:lang w:val="en-US" w:eastAsia="en-US" w:bidi="en-US"/>
    </w:rPr>
  </w:style>
  <w:style w:type="paragraph" w:styleId="2">
    <w:name w:val="heading 1"/>
    <w:basedOn w:val="1"/>
    <w:next w:val="1"/>
    <w:qFormat/>
    <w:uiPriority w:val="0"/>
    <w:pPr>
      <w:keepNext/>
      <w:keepLines/>
      <w:spacing w:before="340" w:after="330" w:line="576" w:lineRule="auto"/>
      <w:outlineLvl w:val="0"/>
    </w:pPr>
    <w:rPr>
      <w:b/>
      <w:kern w:val="44"/>
      <w:sz w:val="4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3" w:lineRule="auto"/>
      <w:outlineLvl w:val="2"/>
    </w:pPr>
    <w:rPr>
      <w:b/>
      <w:sz w:val="32"/>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5">
    <w:name w:val="Body Text"/>
    <w:basedOn w:val="1"/>
    <w:qFormat/>
    <w:uiPriority w:val="0"/>
    <w:pPr>
      <w:spacing w:line="360" w:lineRule="auto"/>
      <w:jc w:val="both"/>
    </w:pPr>
    <w:rPr>
      <w:rFonts w:eastAsia="宋体"/>
      <w:kern w:val="2"/>
      <w:lang w:eastAsia="zh-CN" w:bidi="ar-SA"/>
    </w:rPr>
  </w:style>
  <w:style w:type="paragraph" w:styleId="6">
    <w:name w:val="Balloon Text"/>
    <w:basedOn w:val="1"/>
    <w:link w:val="17"/>
    <w:semiHidden/>
    <w:unhideWhenUsed/>
    <w:uiPriority w:val="99"/>
    <w:rPr>
      <w:sz w:val="18"/>
      <w:szCs w:val="18"/>
    </w:rPr>
  </w:style>
  <w:style w:type="paragraph" w:styleId="7">
    <w:name w:val="footer"/>
    <w:basedOn w:val="1"/>
    <w:qFormat/>
    <w:uiPriority w:val="0"/>
    <w:pPr>
      <w:tabs>
        <w:tab w:val="center" w:pos="4153"/>
        <w:tab w:val="right" w:pos="8307"/>
      </w:tabs>
      <w:snapToGrid w:val="0"/>
    </w:pPr>
    <w:rPr>
      <w:sz w:val="18"/>
    </w:rPr>
  </w:style>
  <w:style w:type="paragraph" w:styleId="8">
    <w:name w:val="header"/>
    <w:basedOn w:val="1"/>
    <w:qFormat/>
    <w:uiPriority w:val="0"/>
    <w:pPr>
      <w:pBdr>
        <w:bottom w:val="single" w:color="auto" w:sz="6" w:space="1"/>
      </w:pBdr>
      <w:tabs>
        <w:tab w:val="center" w:pos="4153"/>
        <w:tab w:val="right" w:pos="8307"/>
      </w:tabs>
      <w:snapToGrid w:val="0"/>
      <w:jc w:val="center"/>
    </w:pPr>
    <w:rPr>
      <w:sz w:val="18"/>
    </w:rPr>
  </w:style>
  <w:style w:type="paragraph" w:styleId="9">
    <w:name w:val="Normal (Web)"/>
    <w:basedOn w:val="1"/>
    <w:qFormat/>
    <w:uiPriority w:val="0"/>
    <w:pPr>
      <w:spacing w:beforeAutospacing="1" w:afterAutospacing="1"/>
    </w:pPr>
    <w:rPr>
      <w:lang w:eastAsia="zh-CN"/>
    </w:rPr>
  </w:style>
  <w:style w:type="character" w:styleId="12">
    <w:name w:val="page number"/>
    <w:basedOn w:val="11"/>
    <w:qFormat/>
    <w:uiPriority w:val="0"/>
  </w:style>
  <w:style w:type="paragraph" w:customStyle="1" w:styleId="13">
    <w:name w:val="Heading #1|1"/>
    <w:basedOn w:val="1"/>
    <w:qFormat/>
    <w:uiPriority w:val="0"/>
    <w:pPr>
      <w:spacing w:after="100"/>
      <w:jc w:val="center"/>
      <w:outlineLvl w:val="0"/>
    </w:pPr>
    <w:rPr>
      <w:rFonts w:ascii="宋体" w:eastAsia="宋体" w:cs="宋体"/>
      <w:sz w:val="36"/>
      <w:szCs w:val="36"/>
      <w:lang w:val="zh-TW" w:eastAsia="zh-TW" w:bidi="zh-TW"/>
    </w:rPr>
  </w:style>
  <w:style w:type="paragraph" w:customStyle="1" w:styleId="14">
    <w:name w:val="Body text|1"/>
    <w:basedOn w:val="1"/>
    <w:qFormat/>
    <w:uiPriority w:val="0"/>
    <w:pPr>
      <w:spacing w:line="456" w:lineRule="auto"/>
      <w:ind w:firstLine="400"/>
    </w:pPr>
    <w:rPr>
      <w:rFonts w:ascii="宋体" w:eastAsia="宋体" w:cs="宋体"/>
      <w:sz w:val="22"/>
      <w:szCs w:val="22"/>
      <w:lang w:val="zh-TW" w:eastAsia="zh-TW" w:bidi="zh-TW"/>
    </w:rPr>
  </w:style>
  <w:style w:type="paragraph" w:customStyle="1" w:styleId="15">
    <w:name w:val="表格中的文字"/>
    <w:qFormat/>
    <w:uiPriority w:val="0"/>
    <w:pPr>
      <w:widowControl w:val="0"/>
      <w:adjustRightInd w:val="0"/>
      <w:spacing w:line="360" w:lineRule="atLeast"/>
      <w:textAlignment w:val="baseline"/>
    </w:pPr>
    <w:rPr>
      <w:rFonts w:ascii="Times New Roman" w:hAnsi="Times New Roman" w:eastAsia="方正书宋简体" w:cs="Times New Roman"/>
      <w:sz w:val="18"/>
      <w:lang w:val="en-US" w:eastAsia="zh-CN" w:bidi="ar-SA"/>
    </w:rPr>
  </w:style>
  <w:style w:type="paragraph" w:customStyle="1" w:styleId="16">
    <w:name w:val="WPSOffice手动目录 1"/>
    <w:qFormat/>
    <w:uiPriority w:val="0"/>
    <w:rPr>
      <w:rFonts w:ascii="Times New Roman" w:hAnsi="Times New Roman" w:eastAsia="宋体" w:cs="Times New Roman"/>
      <w:lang w:val="en-US" w:eastAsia="zh-CN" w:bidi="ar-SA"/>
    </w:rPr>
  </w:style>
  <w:style w:type="character" w:customStyle="1" w:styleId="17">
    <w:name w:val="批注框文本 Char"/>
    <w:basedOn w:val="11"/>
    <w:link w:val="6"/>
    <w:semiHidden/>
    <w:uiPriority w:val="99"/>
    <w:rPr>
      <w:rFonts w:eastAsia="Times New Roman"/>
      <w:color w:val="000000"/>
      <w:sz w:val="18"/>
      <w:szCs w:val="18"/>
      <w:lang w:eastAsia="en-US" w:bidi="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27</Pages>
  <Words>1788</Words>
  <Characters>10195</Characters>
  <Lines>84</Lines>
  <Paragraphs>23</Paragraphs>
  <TotalTime>17</TotalTime>
  <ScaleCrop>false</ScaleCrop>
  <LinksUpToDate>false</LinksUpToDate>
  <CharactersWithSpaces>11960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2020-10-15T01:08:00Z</dcterms:created>
  <dc:creator>cloudatlas</dc:creator>
  <cp:lastModifiedBy>Administrator</cp:lastModifiedBy>
  <dcterms:modified xsi:type="dcterms:W3CDTF">2021-12-15T06:03:16Z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6A7599B2D726406E92DEB9ECA5C96C2A</vt:lpwstr>
  </property>
</Properties>
</file>